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w:pPr>
    </w:p>
    <w:p>
      <w:pPr>
        <w:pStyle w:val="Heading"/>
        <w:jc w:val="center"/>
        <w:rPr>
          <w:rFonts w:ascii="Times New Roman" w:cs="Times New Roman" w:hAnsi="Times New Roman" w:eastAsia="Times New Roman"/>
          <w:sz w:val="34"/>
          <w:szCs w:val="34"/>
        </w:rPr>
      </w:pPr>
      <w:r>
        <w:rPr>
          <w:sz w:val="26"/>
          <w:szCs w:val="26"/>
          <w:rtl w:val="0"/>
          <w:lang w:val="en-US"/>
        </w:rPr>
        <w:t xml:space="preserve">  </w:t>
      </w:r>
      <w:r>
        <w:rPr>
          <w:rFonts w:ascii="Times New Roman"/>
          <w:sz w:val="34"/>
          <w:szCs w:val="34"/>
          <w:rtl w:val="0"/>
          <w:lang w:val="en-US"/>
        </w:rPr>
        <w:t xml:space="preserve"> Health care policy in Vietnam.</w:t>
      </w: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 xml:space="preserve">Public expenditure is the spending, that has been made by government from particular country. The objective of public expenditure is to create the developmental and non- developmental activity that could increase total social welfare such as education, military defence, construction of road and other type of infrastructures. </w:t>
      </w: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Vietnam is one of lower middle income economy that its system of public expenditure (or government spending) has significantly growth during the past decades. The percentage of government spending compare to its GDP is appear to be 6.27 percent in 2014. The spending on public sectors by central government could be classified into 2 main parts. First is the purchase of goods and services that could provide or improve education, health care, or even military defence. The second part is the payment of social security and the payment of subsidies to industrial companies. However Vietnam does not strictly follow the spending patterns that other countries usually applied, they put their primarily concern on energy saving, the control on climate change, health care or even forest preservation, so their spending toward society would not be equally distributed as other developed countries.</w:t>
      </w:r>
    </w:p>
    <w:p>
      <w:pPr>
        <w:pStyle w:val="Body A"/>
        <w:spacing w:line="480" w:lineRule="auto"/>
        <w:jc w:val="both"/>
        <w:rPr>
          <w:rFonts w:ascii="Times New Roman" w:cs="Times New Roman" w:hAnsi="Times New Roman" w:eastAsia="Times New Roman"/>
          <w:u w:val="none"/>
        </w:rPr>
      </w:pPr>
      <w:r>
        <w:rPr>
          <w:rFonts w:ascii="Times New Roman"/>
          <w:sz w:val="24"/>
          <w:szCs w:val="24"/>
          <w:u w:val="single"/>
          <w:rtl w:val="0"/>
          <w:lang w:val="en-US"/>
        </w:rPr>
        <w:t>Share of public spending.</w:t>
      </w:r>
      <w:r>
        <w:rPr>
          <w:rFonts w:ascii="Times New Roman"/>
          <w:sz w:val="24"/>
          <w:szCs w:val="24"/>
          <w:u w:val="none"/>
          <w:rtl w:val="0"/>
          <w:lang w:val="en-US"/>
        </w:rPr>
        <w:t xml:space="preserve">  (information on 2014)</w:t>
      </w:r>
      <w:r>
        <w:rPr>
          <w:rFonts w:ascii="Times New Roman" w:cs="Times New Roman" w:hAnsi="Times New Roman" w:eastAsia="Times New Roman"/>
          <w:u w:val="none"/>
          <w:rtl w:val="0"/>
        </w:rPr>
        <w:drawing>
          <wp:anchor distT="0" distB="0" distL="76200" distR="76200" simplePos="0" relativeHeight="251661312" behindDoc="0" locked="0" layoutInCell="1" allowOverlap="1">
            <wp:simplePos x="0" y="0"/>
            <wp:positionH relativeFrom="page">
              <wp:posOffset>2862508</wp:posOffset>
            </wp:positionH>
            <wp:positionV relativeFrom="line">
              <wp:posOffset>438583</wp:posOffset>
            </wp:positionV>
            <wp:extent cx="2944227" cy="2681347"/>
            <wp:effectExtent l="0" t="0" r="0" b="0"/>
            <wp:wrapTopAndBottom distT="0" distB="0"/>
            <wp:docPr id="1073741825" name="officeArt object"/>
            <wp:cNvGraphicFramePr/>
            <a:graphic xmlns:a="http://schemas.openxmlformats.org/drawingml/2006/main">
              <a:graphicData uri="http://schemas.openxmlformats.org/drawingml/2006/chart">
                <c:chart xmlns:c="http://schemas.openxmlformats.org/drawingml/2006/chart" r:id="rId4"/>
              </a:graphicData>
            </a:graphic>
          </wp:anchor>
        </w:drawing>
      </w:r>
    </w:p>
    <w:p>
      <w:pPr>
        <w:pStyle w:val="Body A"/>
        <w:spacing w:line="480" w:lineRule="auto"/>
        <w:jc w:val="both"/>
        <w:rPr>
          <w:rFonts w:ascii="Times New Roman" w:cs="Times New Roman" w:hAnsi="Times New Roman" w:eastAsia="Times New Roman"/>
          <w:u w:val="single"/>
        </w:rPr>
      </w:pPr>
      <w:r>
        <w:rPr>
          <w:rFonts w:ascii="Times New Roman"/>
          <w:sz w:val="24"/>
          <w:szCs w:val="24"/>
          <w:u w:val="none"/>
          <w:rtl w:val="0"/>
          <w:lang w:val="en-US"/>
        </w:rPr>
        <w:t xml:space="preserve">From the pie chart, we can see that the Vietnam have expenditure on energy as 28 percentage of government spending. 25 percent on education and 12 percent on health care. other 35 percent of public spending will be distribute to infrastructure, control of climate change, social security and housing.   </w:t>
      </w: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During the past 5 years the spending by Vietnam government tend to gradually decrease between 2010 to 2012 and then significantly shift back in 2013. In 2010 the spending is approximately 5.99 percent, 5.91 percent in 2011, 5.93 for 2012 and in 2013 the spending have been rise back to 6.16 percent of the GDP. In 2014 the information indicates that the spending tend to increase to approximately 6.3 percent of total GDP. We can see that the public spending has drop during the time of 2010 to 2012, however Vietnam government could manage to increase their revenue from their income taxes and spend more on public sectors in 2013 and 2014. The change of public spending during the 5 years period is shown in the figure below.</w:t>
      </w:r>
      <w:r>
        <w:rPr>
          <w:rFonts w:ascii="Times New Roman" w:cs="Times New Roman" w:hAnsi="Times New Roman" w:eastAsia="Times New Roman"/>
          <w:rtl w:val="0"/>
        </w:rPr>
        <w:drawing>
          <wp:anchor distT="0" distB="0" distL="76200" distR="76200" simplePos="0" relativeHeight="251662336" behindDoc="0" locked="0" layoutInCell="1" allowOverlap="1">
            <wp:simplePos x="0" y="0"/>
            <wp:positionH relativeFrom="page">
              <wp:posOffset>2004404</wp:posOffset>
            </wp:positionH>
            <wp:positionV relativeFrom="line">
              <wp:posOffset>877540</wp:posOffset>
            </wp:positionV>
            <wp:extent cx="5371319" cy="3895118"/>
            <wp:effectExtent l="0" t="0" r="0" b="0"/>
            <wp:wrapTopAndBottom distT="0" distB="0"/>
            <wp:docPr id="1073741826" name="officeArt object"/>
            <wp:cNvGraphicFramePr/>
            <a:graphic xmlns:a="http://schemas.openxmlformats.org/drawingml/2006/main">
              <a:graphicData uri="http://schemas.openxmlformats.org/drawingml/2006/chart">
                <c:chart xmlns:c="http://schemas.openxmlformats.org/drawingml/2006/chart" r:id="rId5"/>
              </a:graphicData>
            </a:graphic>
          </wp:anchor>
        </w:drawing>
      </w: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 xml:space="preserve"> </w:t>
      </w: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 xml:space="preserve">The sector that has been essentially growth and gaining massive interest in Vietnam is health care sector. Twenty years ago, Vietnam health care sector has been strictly controlled by the central government. However the system was reorganised and changed in 1989 to the system of decentralise administrative. Between 1992 to 1998, central government sought for other options to finance health care policy and came out with the new schemes of  compulsory social insurance. All of these changes occurred as Vietnam tried to reform their health care system to provide equality in accessibility toward health care in every levels of income and also to increase the quality of their health care services. To improve the living standard in Vietnam, government officers have no other choices but to shifted more of their interest on improving health care policy and subsidy more toward this sector. So that the society as a whole would capture most benefit from their spending.       </w:t>
      </w: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 xml:space="preserve">Vietnam government decided to offers  more options on the health care subsidy. First is the subsidy by central government. Second is the introduction of compulsory and voluntary health insurance schemes. </w:t>
      </w:r>
      <w:r>
        <w:rPr>
          <w:rFonts w:ascii="Times New Roman"/>
          <w:b w:val="1"/>
          <w:bCs w:val="1"/>
          <w:sz w:val="24"/>
          <w:szCs w:val="24"/>
          <w:rtl w:val="0"/>
          <w:lang w:val="en-US"/>
        </w:rPr>
        <w:t>The spending on Vietnam health care policy as a percentage of total government expenditure</w:t>
      </w:r>
      <w:r>
        <w:rPr>
          <w:rFonts w:ascii="Times New Roman"/>
          <w:sz w:val="24"/>
          <w:szCs w:val="24"/>
          <w:rtl w:val="0"/>
          <w:lang w:val="en-US"/>
        </w:rPr>
        <w:t xml:space="preserve"> for the past 10 years is shown in the graph below (appendix1).</w:t>
      </w: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From the graph, we can conclude that the public expenditure on health care policy tend to increase from year to year.  From 2004 to 2010, Vietnam government still put their primarily concern on environmental improvement and the climate change, while the private sectors played more role on providing health insurance. Health care sectors have been dominated by private sectors for a while. However, in 2011, Vietnam government decided to cut more shares from their total spending and put it into the health care sectors. This is because, there are so many health problem occurs within their citizen such as the bidding cost of drugs and the problem of low income citizens who can not afford the medical fee which required help from central government.</w:t>
      </w:r>
      <w:r>
        <w:rPr>
          <w:rFonts w:ascii="Times New Roman" w:cs="Times New Roman" w:hAnsi="Times New Roman" w:eastAsia="Times New Roman"/>
          <w:rtl w:val="0"/>
        </w:rPr>
        <w:drawing>
          <wp:anchor distT="0" distB="0" distL="38100" distR="38100" simplePos="0" relativeHeight="251659264" behindDoc="0" locked="0" layoutInCell="1" allowOverlap="1">
            <wp:simplePos x="0" y="0"/>
            <wp:positionH relativeFrom="page">
              <wp:posOffset>1724078</wp:posOffset>
            </wp:positionH>
            <wp:positionV relativeFrom="line">
              <wp:posOffset>1309261</wp:posOffset>
            </wp:positionV>
            <wp:extent cx="5492036" cy="3393937"/>
            <wp:effectExtent l="0" t="0" r="0" b="0"/>
            <wp:wrapTopAndBottom distT="0" distB="0"/>
            <wp:docPr id="1073741827" name="officeArt object"/>
            <wp:cNvGraphicFramePr/>
            <a:graphic xmlns:a="http://schemas.openxmlformats.org/drawingml/2006/main">
              <a:graphicData uri="http://schemas.openxmlformats.org/drawingml/2006/chart">
                <c:chart xmlns:c="http://schemas.openxmlformats.org/drawingml/2006/chart" r:id="rId6"/>
              </a:graphicData>
            </a:graphic>
          </wp:anchor>
        </w:drawing>
      </w:r>
      <w:r>
        <w:rPr>
          <w:rFonts w:ascii="Times New Roman"/>
          <w:sz w:val="24"/>
          <w:szCs w:val="24"/>
          <w:rtl w:val="0"/>
          <w:lang w:val="en-US"/>
        </w:rPr>
        <w:t xml:space="preserve"> </w:t>
      </w:r>
    </w:p>
    <w:p>
      <w:pPr>
        <w:pStyle w:val="Body A"/>
        <w:spacing w:line="480" w:lineRule="auto"/>
        <w:jc w:val="both"/>
        <w:rPr>
          <w:rFonts w:ascii="Times New Roman" w:cs="Times New Roman" w:hAnsi="Times New Roman" w:eastAsia="Times New Roman"/>
        </w:rPr>
      </w:pP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 xml:space="preserve">Now we will move to </w:t>
      </w:r>
      <w:r>
        <w:rPr>
          <w:rFonts w:ascii="Times New Roman"/>
          <w:b w:val="1"/>
          <w:bCs w:val="1"/>
          <w:sz w:val="24"/>
          <w:szCs w:val="24"/>
          <w:rtl w:val="0"/>
          <w:lang w:val="en-US"/>
        </w:rPr>
        <w:t>the spending on health care policy as a percentage of GDP</w:t>
      </w:r>
      <w:r>
        <w:rPr>
          <w:rFonts w:ascii="Times New Roman"/>
          <w:sz w:val="24"/>
          <w:szCs w:val="24"/>
          <w:rtl w:val="0"/>
          <w:lang w:val="en-US"/>
        </w:rPr>
        <w:t xml:space="preserve"> over the past 10 years.  As shown in the graph ( appendix2) , the total spending on health care as a percentage of GDP is count as the sum of private spending (private spend on public health care) and public spending (under the control of central government). Even though the spending by public sectors tend to increase in every year, the private spending on medical cares and public health is actually drops. Since, the medical cost in Vietnam tend to rise up every year and also the proportion of low income people is much more than those middle and high income population. the private sectors need to use the scheme of </w:t>
      </w:r>
      <w:r>
        <w:rPr>
          <w:rFonts w:hAnsi="Times New Roman" w:hint="default"/>
          <w:sz w:val="24"/>
          <w:szCs w:val="24"/>
          <w:rtl w:val="0"/>
          <w:lang w:val="en-US"/>
        </w:rPr>
        <w:t xml:space="preserve">“ </w:t>
      </w:r>
      <w:r>
        <w:rPr>
          <w:rFonts w:ascii="Times New Roman"/>
          <w:sz w:val="24"/>
          <w:szCs w:val="24"/>
          <w:rtl w:val="0"/>
          <w:lang w:val="en-US"/>
        </w:rPr>
        <w:t>out of pocket payment</w:t>
      </w:r>
      <w:r>
        <w:rPr>
          <w:rFonts w:hAnsi="Times New Roman" w:hint="default"/>
          <w:sz w:val="24"/>
          <w:szCs w:val="24"/>
          <w:rtl w:val="0"/>
          <w:lang w:val="en-US"/>
        </w:rPr>
        <w:t xml:space="preserve">” </w:t>
      </w:r>
      <w:r>
        <w:rPr>
          <w:rFonts w:ascii="Times New Roman"/>
          <w:sz w:val="24"/>
          <w:szCs w:val="24"/>
          <w:rtl w:val="0"/>
          <w:lang w:val="en-US"/>
        </w:rPr>
        <w:t>which is the process that individual patients have to paid upfront before receiving medical treatment without subsidies from third party. This process does not went well in reality because, only few household could support their own medical fee without using any support from government. So, when comparing in terms of GDP, total expenditure on health care does not significantly rise up as fast as the government has expected.</w:t>
      </w:r>
      <w:r>
        <w:rPr>
          <w:rFonts w:ascii="Times New Roman" w:cs="Times New Roman" w:hAnsi="Times New Roman" w:eastAsia="Times New Roman"/>
          <w:sz w:val="24"/>
          <w:szCs w:val="24"/>
          <w:rtl w:val="0"/>
          <w:lang w:val="en-US"/>
        </w:rPr>
        <w:drawing>
          <wp:anchor distT="0" distB="0" distL="76200" distR="76200" simplePos="0" relativeHeight="251660288" behindDoc="0" locked="0" layoutInCell="1" allowOverlap="1">
            <wp:simplePos x="0" y="0"/>
            <wp:positionH relativeFrom="margin">
              <wp:posOffset>853084</wp:posOffset>
            </wp:positionH>
            <wp:positionV relativeFrom="line">
              <wp:posOffset>864993</wp:posOffset>
            </wp:positionV>
            <wp:extent cx="5535537" cy="4190928"/>
            <wp:effectExtent l="0" t="0" r="0" b="0"/>
            <wp:wrapTopAndBottom distT="0" distB="0"/>
            <wp:docPr id="1073741828" name="officeArt object"/>
            <wp:cNvGraphicFramePr/>
            <a:graphic xmlns:a="http://schemas.openxmlformats.org/drawingml/2006/main">
              <a:graphicData uri="http://schemas.openxmlformats.org/drawingml/2006/chart">
                <c:chart xmlns:c="http://schemas.openxmlformats.org/drawingml/2006/chart" r:id="rId7"/>
              </a:graphicData>
            </a:graphic>
          </wp:anchor>
        </w:drawing>
      </w:r>
    </w:p>
    <w:p>
      <w:pPr>
        <w:pStyle w:val="Body A"/>
        <w:spacing w:line="480" w:lineRule="auto"/>
        <w:jc w:val="both"/>
        <w:rPr>
          <w:rFonts w:ascii="Times New Roman" w:cs="Times New Roman" w:hAnsi="Times New Roman" w:eastAsia="Times New Roman"/>
        </w:rPr>
      </w:pPr>
      <w:r>
        <w:rPr>
          <w:rFonts w:ascii="Times New Roman"/>
          <w:sz w:val="24"/>
          <w:szCs w:val="24"/>
          <w:rtl w:val="0"/>
          <w:lang w:val="en-US"/>
        </w:rPr>
        <w:t xml:space="preserve">After so many years of developing, the central government came up with the 3 main policies which are the optional choices for government to deal with the problem financial management of health care sectors. Theses are policies that currently applied in Vietnam. First is the government budget allocation ( as mentioned above). Second is </w:t>
      </w:r>
      <w:r>
        <w:rPr>
          <w:rFonts w:hAnsi="Times New Roman" w:hint="default"/>
          <w:sz w:val="24"/>
          <w:szCs w:val="24"/>
          <w:rtl w:val="0"/>
          <w:lang w:val="en-US"/>
        </w:rPr>
        <w:t xml:space="preserve">“ </w:t>
      </w:r>
      <w:r>
        <w:rPr>
          <w:rFonts w:ascii="Times New Roman"/>
          <w:sz w:val="24"/>
          <w:szCs w:val="24"/>
          <w:rtl w:val="0"/>
          <w:lang w:val="en-US"/>
        </w:rPr>
        <w:t xml:space="preserve">out-of-pockets payment </w:t>
      </w:r>
      <w:r>
        <w:rPr>
          <w:rFonts w:hAnsi="Times New Roman" w:hint="default"/>
          <w:sz w:val="24"/>
          <w:szCs w:val="24"/>
          <w:rtl w:val="0"/>
          <w:lang w:val="en-US"/>
        </w:rPr>
        <w:t xml:space="preserve">“ </w:t>
      </w:r>
      <w:r>
        <w:rPr>
          <w:rFonts w:ascii="Times New Roman"/>
          <w:sz w:val="24"/>
          <w:szCs w:val="24"/>
          <w:rtl w:val="0"/>
          <w:lang w:val="en-US"/>
        </w:rPr>
        <w:t xml:space="preserve">which is the way private sectors pay medical fee directly to health care providers. Third is health insurance or prepayment schemes, and there are three forms of health insurance. First type is </w:t>
      </w:r>
      <w:r>
        <w:rPr>
          <w:rFonts w:ascii="Times New Roman"/>
          <w:b w:val="1"/>
          <w:bCs w:val="1"/>
          <w:sz w:val="24"/>
          <w:szCs w:val="24"/>
          <w:rtl w:val="0"/>
          <w:lang w:val="en-US"/>
        </w:rPr>
        <w:t xml:space="preserve">compulsory coverage </w:t>
      </w:r>
      <w:r>
        <w:rPr>
          <w:rFonts w:ascii="Times New Roman"/>
          <w:sz w:val="24"/>
          <w:szCs w:val="24"/>
          <w:rtl w:val="0"/>
          <w:lang w:val="en-US"/>
        </w:rPr>
        <w:t xml:space="preserve">this type of health insurance cover those active and retired workers. Second type is </w:t>
      </w:r>
      <w:r>
        <w:rPr>
          <w:rFonts w:ascii="Times New Roman"/>
          <w:b w:val="1"/>
          <w:bCs w:val="1"/>
          <w:sz w:val="24"/>
          <w:szCs w:val="24"/>
          <w:rtl w:val="0"/>
          <w:lang w:val="en-US"/>
        </w:rPr>
        <w:t>voluntary schemes</w:t>
      </w:r>
      <w:r>
        <w:rPr>
          <w:rFonts w:ascii="Times New Roman"/>
          <w:sz w:val="24"/>
          <w:szCs w:val="24"/>
          <w:rtl w:val="0"/>
          <w:lang w:val="en-US"/>
        </w:rPr>
        <w:t xml:space="preserve">, covers school children, farmer voluntary insurance scheme. Last type is </w:t>
      </w:r>
      <w:r>
        <w:rPr>
          <w:rFonts w:ascii="Times New Roman"/>
          <w:b w:val="1"/>
          <w:bCs w:val="1"/>
          <w:sz w:val="24"/>
          <w:szCs w:val="24"/>
          <w:rtl w:val="0"/>
          <w:lang w:val="en-US"/>
        </w:rPr>
        <w:t xml:space="preserve">scheme fully subsidised by government </w:t>
      </w:r>
      <w:r>
        <w:rPr>
          <w:rFonts w:ascii="Times New Roman"/>
          <w:sz w:val="24"/>
          <w:szCs w:val="24"/>
          <w:rtl w:val="0"/>
          <w:lang w:val="en-US"/>
        </w:rPr>
        <w:t xml:space="preserve">included reward scheme for merit and free health care for the poor. In 2012 there are so may factors that could indicate the achievement of the policy such as 1184 hospitals has been built up, 180,000 beds have been subsidised by government, 11,600 doctors for 10,000 patients. however, there are some problem exist even though Vietnam government and Vietnam health insurance (VHI) tried so hard to enhance and fix the problem. Those problems are the problem of inequality that caused from the use of </w:t>
      </w:r>
      <w:r>
        <w:rPr>
          <w:rFonts w:hAnsi="Times New Roman" w:hint="default"/>
          <w:sz w:val="24"/>
          <w:szCs w:val="24"/>
          <w:rtl w:val="0"/>
          <w:lang w:val="en-US"/>
        </w:rPr>
        <w:t>“</w:t>
      </w:r>
      <w:r>
        <w:rPr>
          <w:rFonts w:ascii="Times New Roman"/>
          <w:sz w:val="24"/>
          <w:szCs w:val="24"/>
          <w:rtl w:val="0"/>
          <w:lang w:val="en-US"/>
        </w:rPr>
        <w:t>out-of-pocket payment</w:t>
      </w:r>
      <w:r>
        <w:rPr>
          <w:rFonts w:hAnsi="Times New Roman" w:hint="default"/>
          <w:sz w:val="24"/>
          <w:szCs w:val="24"/>
          <w:rtl w:val="0"/>
          <w:lang w:val="en-US"/>
        </w:rPr>
        <w:t xml:space="preserve">“ </w:t>
      </w:r>
      <w:r>
        <w:rPr>
          <w:rFonts w:ascii="Times New Roman"/>
          <w:sz w:val="24"/>
          <w:szCs w:val="24"/>
          <w:rtl w:val="0"/>
          <w:lang w:val="en-US"/>
        </w:rPr>
        <w:t>scheme, the high cost of domestic and imported drugs and also low spending on public health that have been provided by the government. This occurred because of the disproportional of the poor and the rich, the number of poor people in Vietnam is much larger than the rich ones. So the spending mainly come from high income household which are a small group in society. To solve problem government support to renovation health care insurance system to solve the inequality problem and seeking for the new schemes to increase the efficiency and quality of health care services (this included finding the new way to keep the price of the drug at constant rate).</w:t>
      </w:r>
    </w:p>
    <w:p>
      <w:pPr>
        <w:pStyle w:val="Body A"/>
        <w:widowControl w:val="0"/>
        <w:spacing w:line="480" w:lineRule="auto"/>
        <w:jc w:val="both"/>
        <w:rPr>
          <w:rFonts w:ascii="Times New Roman" w:cs="Times New Roman" w:hAnsi="Times New Roman" w:eastAsia="Times New Roman"/>
        </w:rPr>
      </w:pPr>
      <w:r>
        <w:rPr>
          <w:rFonts w:ascii="Times New Roman"/>
          <w:sz w:val="24"/>
          <w:szCs w:val="24"/>
          <w:rtl w:val="0"/>
          <w:lang w:val="en-US"/>
        </w:rPr>
        <w:t xml:space="preserve">In conclusion, health care policy in Vietnam has change drastically during the past decades. The change that cause significant effect toward health care users and providers are listed in the table below (appendix3). </w:t>
      </w:r>
    </w:p>
    <w:tbl>
      <w:tblPr>
        <w:tblW w:w="902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965"/>
        <w:gridCol w:w="7055"/>
      </w:tblGrid>
      <w:tr>
        <w:tblPrEx>
          <w:shd w:val="clear" w:color="auto" w:fill="bdc0bf"/>
        </w:tblPrEx>
        <w:trPr>
          <w:trHeight w:val="280" w:hRule="atLeast"/>
          <w:tblHeader/>
        </w:trPr>
        <w:tc>
          <w:tcPr>
            <w:tcW w:type="dxa" w:w="9020"/>
            <w:gridSpan w:val="2"/>
            <w:tcBorders>
              <w:top w:val="nil"/>
              <w:left w:val="nil"/>
              <w:bottom w:val="nil"/>
              <w:right w:val="nil"/>
            </w:tcBorders>
            <w:shd w:val="clear" w:color="auto" w:fill="auto"/>
            <w:tcMar>
              <w:top w:type="dxa" w:w="80"/>
              <w:left w:type="dxa" w:w="80"/>
              <w:bottom w:type="dxa" w:w="80"/>
              <w:right w:type="dxa" w:w="80"/>
            </w:tcMar>
            <w:vAlign w:val="center"/>
          </w:tcPr>
          <w:p>
            <w:pPr>
              <w:pStyle w:val="Table Title 1"/>
              <w:jc w:val="left"/>
            </w:pPr>
            <w:r>
              <w:rPr>
                <w:caps w:val="0"/>
                <w:smallCaps w:val="0"/>
                <w:strike w:val="0"/>
                <w:dstrike w:val="0"/>
                <w:outline w:val="0"/>
                <w:color w:val="434343"/>
                <w:spacing w:val="0"/>
                <w:kern w:val="0"/>
                <w:position w:val="0"/>
                <w:sz w:val="24"/>
                <w:szCs w:val="24"/>
                <w:u w:val="single" w:color="434343"/>
                <w:vertAlign w:val="baseline"/>
                <w:rtl w:val="0"/>
                <w:lang w:val="fr-FR"/>
              </w:rPr>
              <w:t>Appendix 3</w:t>
            </w:r>
          </w:p>
        </w:tc>
      </w:tr>
      <w:tr>
        <w:tblPrEx>
          <w:shd w:val="clear" w:color="auto" w:fill="bdc0bf"/>
        </w:tblPrEx>
        <w:trPr>
          <w:trHeight w:val="230" w:hRule="atLeast"/>
          <w:tblHeader/>
        </w:trPr>
        <w:tc>
          <w:tcPr>
            <w:tcW w:type="dxa" w:w="1965"/>
            <w:tcBorders>
              <w:top w:val="nil"/>
              <w:left w:val="nil"/>
              <w:bottom w:val="single" w:color="314924" w:sz="8" w:space="0" w:shadow="0" w:frame="0"/>
              <w:right w:val="nil"/>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year</w:t>
            </w:r>
          </w:p>
        </w:tc>
        <w:tc>
          <w:tcPr>
            <w:tcW w:type="dxa" w:w="7055"/>
            <w:tcBorders>
              <w:top w:val="nil"/>
              <w:left w:val="nil"/>
              <w:bottom w:val="single" w:color="314924" w:sz="8" w:space="0" w:shadow="0" w:frame="0"/>
              <w:right w:val="nil"/>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policy / strategy</w:t>
            </w:r>
          </w:p>
        </w:tc>
      </w:tr>
      <w:tr>
        <w:tblPrEx>
          <w:shd w:val="clear" w:color="auto" w:fill="auto"/>
        </w:tblPrEx>
        <w:trPr>
          <w:trHeight w:val="270" w:hRule="atLeast"/>
        </w:trPr>
        <w:tc>
          <w:tcPr>
            <w:tcW w:type="dxa" w:w="1965"/>
            <w:tcBorders>
              <w:top w:val="single" w:color="314924" w:sz="8" w:space="0" w:shadow="0" w:frame="0"/>
              <w:left w:val="nil"/>
              <w:bottom w:val="nil"/>
              <w:right w:val="single" w:color="314924" w:sz="8" w:space="0" w:shadow="0" w:frame="0"/>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Before 1986</w:t>
            </w:r>
          </w:p>
        </w:tc>
        <w:tc>
          <w:tcPr>
            <w:tcW w:type="dxa" w:w="7055"/>
            <w:tcBorders>
              <w:top w:val="single" w:color="314924" w:sz="8" w:space="0" w:shadow="0" w:frame="0"/>
              <w:left w:val="single" w:color="314924" w:sz="8" w:space="0" w:shadow="0" w:frame="0"/>
              <w:bottom w:val="nil"/>
              <w:right w:val="nil"/>
            </w:tcBorders>
            <w:shd w:val="clear" w:color="auto" w:fill="f4f8ee"/>
            <w:tcMar>
              <w:top w:type="dxa" w:w="80"/>
              <w:left w:type="dxa" w:w="80"/>
              <w:bottom w:type="dxa" w:w="80"/>
              <w:right w:type="dxa" w:w="80"/>
            </w:tcMar>
            <w:vAlign w:val="top"/>
          </w:tcPr>
          <w:p>
            <w:pPr>
              <w:pStyle w:val="Table Style 2"/>
              <w:jc w:val="center"/>
            </w:pPr>
            <w:r>
              <w:rPr>
                <w:caps w:val="0"/>
                <w:smallCaps w:val="0"/>
                <w:strike w:val="0"/>
                <w:dstrike w:val="0"/>
                <w:outline w:val="0"/>
                <w:color w:val="314924"/>
                <w:spacing w:val="0"/>
                <w:kern w:val="0"/>
                <w:position w:val="0"/>
                <w:sz w:val="20"/>
                <w:szCs w:val="20"/>
                <w:u w:val="none" w:color="314924"/>
                <w:vertAlign w:val="baseline"/>
                <w:rtl w:val="0"/>
                <w:lang w:val="en-US"/>
              </w:rPr>
              <w:t>Government held ownership to both capital and production</w:t>
            </w:r>
          </w:p>
        </w:tc>
      </w:tr>
      <w:tr>
        <w:tblPrEx>
          <w:shd w:val="clear" w:color="auto" w:fill="auto"/>
        </w:tblPrEx>
        <w:trPr>
          <w:trHeight w:val="220" w:hRule="atLeast"/>
        </w:trPr>
        <w:tc>
          <w:tcPr>
            <w:tcW w:type="dxa" w:w="1965"/>
            <w:tcBorders>
              <w:top w:val="nil"/>
              <w:left w:val="nil"/>
              <w:bottom w:val="nil"/>
              <w:right w:val="single" w:color="314924" w:sz="8" w:space="0" w:shadow="0" w:frame="0"/>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1986</w:t>
            </w:r>
          </w:p>
        </w:tc>
        <w:tc>
          <w:tcPr>
            <w:tcW w:type="dxa" w:w="7055"/>
            <w:tcBorders>
              <w:top w:val="nil"/>
              <w:left w:val="single" w:color="314924" w:sz="8" w:space="0" w:shadow="0" w:frame="0"/>
              <w:bottom w:val="nil"/>
              <w:right w:val="nil"/>
            </w:tcBorders>
            <w:shd w:val="clear" w:color="auto" w:fill="e6ede1"/>
            <w:tcMar>
              <w:top w:type="dxa" w:w="80"/>
              <w:left w:type="dxa" w:w="80"/>
              <w:bottom w:type="dxa" w:w="80"/>
              <w:right w:type="dxa" w:w="80"/>
            </w:tcMar>
            <w:vAlign w:val="top"/>
          </w:tcPr>
          <w:p>
            <w:pPr>
              <w:pStyle w:val="Table Style 2"/>
              <w:jc w:val="center"/>
            </w:pPr>
            <w:r>
              <w:rPr>
                <w:caps w:val="0"/>
                <w:smallCaps w:val="0"/>
                <w:strike w:val="0"/>
                <w:dstrike w:val="0"/>
                <w:outline w:val="0"/>
                <w:color w:val="314924"/>
                <w:spacing w:val="0"/>
                <w:kern w:val="0"/>
                <w:position w:val="0"/>
                <w:sz w:val="20"/>
                <w:szCs w:val="20"/>
                <w:u w:val="none" w:color="314924"/>
                <w:vertAlign w:val="baseline"/>
                <w:rtl w:val="0"/>
                <w:lang w:val="en-US"/>
              </w:rPr>
              <w:t xml:space="preserve">Government decentralisation ; Renovation package </w:t>
            </w:r>
          </w:p>
        </w:tc>
      </w:tr>
      <w:tr>
        <w:tblPrEx>
          <w:shd w:val="clear" w:color="auto" w:fill="auto"/>
        </w:tblPrEx>
        <w:trPr>
          <w:trHeight w:val="440" w:hRule="atLeast"/>
        </w:trPr>
        <w:tc>
          <w:tcPr>
            <w:tcW w:type="dxa" w:w="1965"/>
            <w:tcBorders>
              <w:top w:val="nil"/>
              <w:left w:val="nil"/>
              <w:bottom w:val="nil"/>
              <w:right w:val="single" w:color="314924" w:sz="8" w:space="0" w:shadow="0" w:frame="0"/>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1989</w:t>
            </w:r>
          </w:p>
        </w:tc>
        <w:tc>
          <w:tcPr>
            <w:tcW w:type="dxa" w:w="7055"/>
            <w:tcBorders>
              <w:top w:val="nil"/>
              <w:left w:val="single" w:color="314924" w:sz="8" w:space="0" w:shadow="0" w:frame="0"/>
              <w:bottom w:val="nil"/>
              <w:right w:val="nil"/>
            </w:tcBorders>
            <w:shd w:val="clear" w:color="auto" w:fill="f4f8ee"/>
            <w:tcMar>
              <w:top w:type="dxa" w:w="80"/>
              <w:left w:type="dxa" w:w="80"/>
              <w:bottom w:type="dxa" w:w="80"/>
              <w:right w:type="dxa" w:w="80"/>
            </w:tcMar>
            <w:vAlign w:val="top"/>
          </w:tcPr>
          <w:p>
            <w:pPr>
              <w:pStyle w:val="Table Style 2"/>
              <w:jc w:val="center"/>
            </w:pPr>
            <w:r>
              <w:rPr>
                <w:caps w:val="0"/>
                <w:smallCaps w:val="0"/>
                <w:strike w:val="0"/>
                <w:dstrike w:val="0"/>
                <w:outline w:val="0"/>
                <w:color w:val="314924"/>
                <w:spacing w:val="0"/>
                <w:kern w:val="0"/>
                <w:position w:val="0"/>
                <w:sz w:val="20"/>
                <w:szCs w:val="20"/>
                <w:u w:val="none" w:color="314924"/>
                <w:vertAlign w:val="baseline"/>
                <w:rtl w:val="0"/>
                <w:lang w:val="en-US"/>
              </w:rPr>
              <w:t>New policies have been announced such as Private practice, Fee for service, Pharmaceutical sale</w:t>
            </w:r>
          </w:p>
        </w:tc>
      </w:tr>
      <w:tr>
        <w:tblPrEx>
          <w:shd w:val="clear" w:color="auto" w:fill="auto"/>
        </w:tblPrEx>
        <w:trPr>
          <w:trHeight w:val="220" w:hRule="atLeast"/>
        </w:trPr>
        <w:tc>
          <w:tcPr>
            <w:tcW w:type="dxa" w:w="1965"/>
            <w:tcBorders>
              <w:top w:val="nil"/>
              <w:left w:val="nil"/>
              <w:bottom w:val="nil"/>
              <w:right w:val="single" w:color="314924" w:sz="8" w:space="0" w:shadow="0" w:frame="0"/>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1992</w:t>
            </w:r>
          </w:p>
        </w:tc>
        <w:tc>
          <w:tcPr>
            <w:tcW w:type="dxa" w:w="7055"/>
            <w:tcBorders>
              <w:top w:val="nil"/>
              <w:left w:val="single" w:color="314924" w:sz="8" w:space="0" w:shadow="0" w:frame="0"/>
              <w:bottom w:val="nil"/>
              <w:right w:val="nil"/>
            </w:tcBorders>
            <w:shd w:val="clear" w:color="auto" w:fill="e6ede1"/>
            <w:tcMar>
              <w:top w:type="dxa" w:w="80"/>
              <w:left w:type="dxa" w:w="80"/>
              <w:bottom w:type="dxa" w:w="80"/>
              <w:right w:type="dxa" w:w="80"/>
            </w:tcMar>
            <w:vAlign w:val="top"/>
          </w:tcPr>
          <w:p>
            <w:pPr>
              <w:pStyle w:val="Table Style 2"/>
              <w:jc w:val="center"/>
            </w:pPr>
            <w:r>
              <w:rPr>
                <w:caps w:val="0"/>
                <w:smallCaps w:val="0"/>
                <w:strike w:val="0"/>
                <w:dstrike w:val="0"/>
                <w:outline w:val="0"/>
                <w:color w:val="314924"/>
                <w:spacing w:val="0"/>
                <w:kern w:val="0"/>
                <w:position w:val="0"/>
                <w:sz w:val="20"/>
                <w:szCs w:val="20"/>
                <w:u w:val="none" w:color="314924"/>
                <w:vertAlign w:val="baseline"/>
                <w:rtl w:val="0"/>
                <w:lang w:val="en-US"/>
              </w:rPr>
              <w:t xml:space="preserve">National health care insurance program </w:t>
            </w:r>
          </w:p>
        </w:tc>
      </w:tr>
      <w:tr>
        <w:tblPrEx>
          <w:shd w:val="clear" w:color="auto" w:fill="auto"/>
        </w:tblPrEx>
        <w:trPr>
          <w:trHeight w:val="220" w:hRule="atLeast"/>
        </w:trPr>
        <w:tc>
          <w:tcPr>
            <w:tcW w:type="dxa" w:w="1965"/>
            <w:tcBorders>
              <w:top w:val="nil"/>
              <w:left w:val="nil"/>
              <w:bottom w:val="nil"/>
              <w:right w:val="single" w:color="314924" w:sz="8" w:space="0" w:shadow="0" w:frame="0"/>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1996</w:t>
            </w:r>
          </w:p>
        </w:tc>
        <w:tc>
          <w:tcPr>
            <w:tcW w:type="dxa" w:w="7055"/>
            <w:tcBorders>
              <w:top w:val="nil"/>
              <w:left w:val="single" w:color="314924" w:sz="8" w:space="0" w:shadow="0" w:frame="0"/>
              <w:bottom w:val="nil"/>
              <w:right w:val="nil"/>
            </w:tcBorders>
            <w:shd w:val="clear" w:color="auto" w:fill="f4f8ee"/>
            <w:tcMar>
              <w:top w:type="dxa" w:w="80"/>
              <w:left w:type="dxa" w:w="80"/>
              <w:bottom w:type="dxa" w:w="80"/>
              <w:right w:type="dxa" w:w="80"/>
            </w:tcMar>
            <w:vAlign w:val="top"/>
          </w:tcPr>
          <w:p>
            <w:pPr>
              <w:pStyle w:val="Table Style 2"/>
              <w:jc w:val="center"/>
            </w:pPr>
            <w:r>
              <w:rPr>
                <w:caps w:val="0"/>
                <w:smallCaps w:val="0"/>
                <w:strike w:val="0"/>
                <w:dstrike w:val="0"/>
                <w:outline w:val="0"/>
                <w:color w:val="314924"/>
                <w:spacing w:val="0"/>
                <w:kern w:val="0"/>
                <w:position w:val="0"/>
                <w:sz w:val="20"/>
                <w:szCs w:val="20"/>
                <w:u w:val="none" w:color="314924"/>
                <w:vertAlign w:val="baseline"/>
                <w:rtl w:val="0"/>
                <w:lang w:val="en-US"/>
              </w:rPr>
              <w:t>National drug policy</w:t>
            </w:r>
          </w:p>
        </w:tc>
      </w:tr>
      <w:tr>
        <w:tblPrEx>
          <w:shd w:val="clear" w:color="auto" w:fill="auto"/>
        </w:tblPrEx>
        <w:trPr>
          <w:trHeight w:val="220" w:hRule="atLeast"/>
        </w:trPr>
        <w:tc>
          <w:tcPr>
            <w:tcW w:type="dxa" w:w="1965"/>
            <w:tcBorders>
              <w:top w:val="nil"/>
              <w:left w:val="nil"/>
              <w:bottom w:val="nil"/>
              <w:right w:val="single" w:color="314924" w:sz="8" w:space="0" w:shadow="0" w:frame="0"/>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1997</w:t>
            </w:r>
          </w:p>
        </w:tc>
        <w:tc>
          <w:tcPr>
            <w:tcW w:type="dxa" w:w="7055"/>
            <w:tcBorders>
              <w:top w:val="nil"/>
              <w:left w:val="single" w:color="314924" w:sz="8" w:space="0" w:shadow="0" w:frame="0"/>
              <w:bottom w:val="nil"/>
              <w:right w:val="nil"/>
            </w:tcBorders>
            <w:shd w:val="clear" w:color="auto" w:fill="e6ede1"/>
            <w:tcMar>
              <w:top w:type="dxa" w:w="80"/>
              <w:left w:type="dxa" w:w="80"/>
              <w:bottom w:type="dxa" w:w="80"/>
              <w:right w:type="dxa" w:w="80"/>
            </w:tcMar>
            <w:vAlign w:val="top"/>
          </w:tcPr>
          <w:p>
            <w:pPr>
              <w:pStyle w:val="Table Style 2"/>
              <w:jc w:val="center"/>
            </w:pPr>
            <w:r>
              <w:rPr>
                <w:caps w:val="0"/>
                <w:smallCaps w:val="0"/>
                <w:strike w:val="0"/>
                <w:dstrike w:val="0"/>
                <w:outline w:val="0"/>
                <w:color w:val="314924"/>
                <w:spacing w:val="0"/>
                <w:kern w:val="0"/>
                <w:position w:val="0"/>
                <w:sz w:val="20"/>
                <w:szCs w:val="20"/>
                <w:u w:val="none" w:color="314924"/>
                <w:vertAlign w:val="baseline"/>
                <w:rtl w:val="0"/>
                <w:lang w:val="en-US"/>
              </w:rPr>
              <w:t>Provincial health system model</w:t>
            </w:r>
          </w:p>
        </w:tc>
      </w:tr>
      <w:tr>
        <w:tblPrEx>
          <w:shd w:val="clear" w:color="auto" w:fill="auto"/>
        </w:tblPrEx>
        <w:trPr>
          <w:trHeight w:val="220" w:hRule="atLeast"/>
        </w:trPr>
        <w:tc>
          <w:tcPr>
            <w:tcW w:type="dxa" w:w="1965"/>
            <w:tcBorders>
              <w:top w:val="nil"/>
              <w:left w:val="nil"/>
              <w:bottom w:val="nil"/>
              <w:right w:val="single" w:color="314924" w:sz="8" w:space="0" w:shadow="0" w:frame="0"/>
            </w:tcBorders>
            <w:shd w:val="clear" w:color="auto" w:fill="f4f8ee"/>
            <w:tcMar>
              <w:top w:type="dxa" w:w="80"/>
              <w:left w:type="dxa" w:w="80"/>
              <w:bottom w:type="dxa" w:w="80"/>
              <w:right w:type="dxa" w:w="80"/>
            </w:tcMar>
            <w:vAlign w:val="top"/>
          </w:tcPr>
          <w:p>
            <w:pPr>
              <w:pStyle w:val="Table Style 1"/>
              <w:jc w:val="center"/>
            </w:pPr>
            <w:r>
              <w:rPr>
                <w:caps w:val="0"/>
                <w:smallCaps w:val="0"/>
                <w:strike w:val="0"/>
                <w:dstrike w:val="0"/>
                <w:outline w:val="0"/>
                <w:color w:val="314924"/>
                <w:spacing w:val="0"/>
                <w:kern w:val="0"/>
                <w:position w:val="0"/>
                <w:sz w:val="20"/>
                <w:szCs w:val="20"/>
                <w:u w:val="none" w:color="314924"/>
                <w:vertAlign w:val="baseline"/>
                <w:rtl w:val="0"/>
                <w:lang w:val="en-US"/>
              </w:rPr>
              <w:t>1999</w:t>
            </w:r>
          </w:p>
        </w:tc>
        <w:tc>
          <w:tcPr>
            <w:tcW w:type="dxa" w:w="7055"/>
            <w:tcBorders>
              <w:top w:val="nil"/>
              <w:left w:val="single" w:color="314924" w:sz="8" w:space="0" w:shadow="0" w:frame="0"/>
              <w:bottom w:val="nil"/>
              <w:right w:val="nil"/>
            </w:tcBorders>
            <w:shd w:val="clear" w:color="auto" w:fill="f4f8ee"/>
            <w:tcMar>
              <w:top w:type="dxa" w:w="80"/>
              <w:left w:type="dxa" w:w="80"/>
              <w:bottom w:type="dxa" w:w="80"/>
              <w:right w:type="dxa" w:w="80"/>
            </w:tcMar>
            <w:vAlign w:val="top"/>
          </w:tcPr>
          <w:p>
            <w:pPr>
              <w:pStyle w:val="Table Style 2"/>
              <w:jc w:val="center"/>
            </w:pPr>
            <w:r>
              <w:rPr>
                <w:caps w:val="0"/>
                <w:smallCaps w:val="0"/>
                <w:strike w:val="0"/>
                <w:dstrike w:val="0"/>
                <w:outline w:val="0"/>
                <w:color w:val="314924"/>
                <w:spacing w:val="0"/>
                <w:kern w:val="0"/>
                <w:position w:val="0"/>
                <w:sz w:val="20"/>
                <w:szCs w:val="20"/>
                <w:u w:val="none" w:color="314924"/>
                <w:vertAlign w:val="baseline"/>
                <w:rtl w:val="0"/>
                <w:lang w:val="en-US"/>
              </w:rPr>
              <w:t>Redefine goals of health sector reform</w:t>
            </w:r>
          </w:p>
        </w:tc>
      </w:tr>
    </w:tbl>
    <w:p>
      <w:pPr>
        <w:pStyle w:val="Body A"/>
        <w:widowControl w:val="0"/>
        <w:spacing w:line="240" w:lineRule="auto"/>
        <w:jc w:val="both"/>
        <w:rPr>
          <w:rFonts w:ascii="Times New Roman" w:cs="Times New Roman" w:hAnsi="Times New Roman" w:eastAsia="Times New Roman"/>
        </w:rPr>
      </w:pPr>
    </w:p>
    <w:p>
      <w:pPr>
        <w:pStyle w:val="Body A"/>
        <w:widowControl w:val="0"/>
        <w:spacing w:line="480" w:lineRule="auto"/>
        <w:jc w:val="both"/>
        <w:rPr>
          <w:rFonts w:ascii="Times New Roman" w:cs="Times New Roman" w:hAnsi="Times New Roman" w:eastAsia="Times New Roman"/>
        </w:rPr>
      </w:pPr>
      <w:r>
        <w:rPr>
          <w:rFonts w:ascii="Times New Roman"/>
          <w:sz w:val="24"/>
          <w:szCs w:val="24"/>
          <w:rtl w:val="0"/>
          <w:lang w:val="en-US"/>
        </w:rPr>
        <w:t xml:space="preserve">      </w:t>
      </w:r>
    </w:p>
    <w:p>
      <w:pPr>
        <w:pStyle w:val="Body A"/>
        <w:widowControl w:val="0"/>
        <w:spacing w:line="480" w:lineRule="auto"/>
        <w:jc w:val="both"/>
        <w:rPr>
          <w:rFonts w:ascii="Times New Roman" w:cs="Times New Roman" w:hAnsi="Times New Roman" w:eastAsia="Times New Roman"/>
        </w:rPr>
      </w:pPr>
    </w:p>
    <w:p>
      <w:pPr>
        <w:pStyle w:val="Body A"/>
        <w:widowControl w:val="0"/>
        <w:spacing w:line="480" w:lineRule="auto"/>
        <w:jc w:val="both"/>
        <w:rPr>
          <w:rFonts w:ascii="Times New Roman" w:cs="Times New Roman" w:hAnsi="Times New Roman" w:eastAsia="Times New Roman"/>
        </w:rPr>
      </w:pPr>
    </w:p>
    <w:p>
      <w:pPr>
        <w:pStyle w:val="Body A"/>
        <w:widowControl w:val="0"/>
        <w:spacing w:line="480" w:lineRule="auto"/>
        <w:jc w:val="both"/>
        <w:rPr>
          <w:rFonts w:ascii="Times New Roman" w:cs="Times New Roman" w:hAnsi="Times New Roman" w:eastAsia="Times New Roman"/>
        </w:rPr>
      </w:pPr>
      <w:r>
        <w:rPr>
          <w:rFonts w:ascii="Times New Roman"/>
          <w:sz w:val="24"/>
          <w:szCs w:val="24"/>
          <w:rtl w:val="0"/>
          <w:lang w:val="en-US"/>
        </w:rPr>
        <w:t xml:space="preserve">So, all policies that have been change and adjusted could indicates that Vietnam have high anticipation to reduce poverty and also raise the living standard. The process of improving health care and financial system is one of the main keys to achieve theses goals. Still, increasing government budget seems to be the best option among various financial alternatives. More over, the cooperation from private health insurance from many insurance companies could partially support the attempt of central government to success all health care policies goals that they have set. Vietnam have strongly belief toward their norms and tradition of exercising and consuming good foods that it could support their health care policy and achieve their objectives much easier. </w:t>
      </w:r>
    </w:p>
    <w:p>
      <w:pPr>
        <w:pStyle w:val="Body A"/>
        <w:spacing w:line="480" w:lineRule="auto"/>
        <w:jc w:val="both"/>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p>
    <w:p>
      <w:pPr>
        <w:pStyle w:val="Body A"/>
        <w:spacing w:line="480" w:lineRule="auto"/>
        <w:jc w:val="center"/>
        <w:rPr>
          <w:rFonts w:ascii="Times New Roman" w:cs="Times New Roman" w:hAnsi="Times New Roman" w:eastAsia="Times New Roman"/>
          <w:u w:val="single"/>
        </w:rPr>
      </w:pPr>
      <w:r>
        <w:rPr>
          <w:rFonts w:ascii="Times New Roman"/>
          <w:b w:val="1"/>
          <w:bCs w:val="1"/>
          <w:sz w:val="24"/>
          <w:szCs w:val="24"/>
          <w:u w:val="single"/>
          <w:rtl w:val="0"/>
          <w:lang w:val="en-US"/>
        </w:rPr>
        <w:t>References</w:t>
      </w:r>
      <w:r>
        <w:rPr>
          <w:rFonts w:ascii="Times New Roman"/>
          <w:sz w:val="24"/>
          <w:szCs w:val="24"/>
          <w:u w:val="single"/>
          <w:rtl w:val="0"/>
          <w:lang w:val="en-US"/>
        </w:rPr>
        <w:t xml:space="preserve"> </w:t>
      </w:r>
    </w:p>
    <w:p>
      <w:pPr>
        <w:pStyle w:val="Free Form"/>
        <w:spacing w:line="480" w:lineRule="auto"/>
        <w:ind w:firstLine="0"/>
        <w:rPr>
          <w:rFonts w:ascii="Times New Roman" w:cs="Times New Roman" w:hAnsi="Times New Roman" w:eastAsia="Times New Roman"/>
          <w:u w:val="single"/>
        </w:rPr>
      </w:pPr>
    </w:p>
    <w:p>
      <w:pPr>
        <w:pStyle w:val="Free Form"/>
        <w:spacing w:line="480" w:lineRule="auto"/>
        <w:ind w:firstLine="0"/>
        <w:rPr>
          <w:rFonts w:ascii="Times New Roman" w:cs="Times New Roman" w:hAnsi="Times New Roman" w:eastAsia="Times New Roman"/>
        </w:rPr>
      </w:pPr>
      <w:r>
        <w:rPr>
          <w:rFonts w:ascii="Times New Roman"/>
          <w:sz w:val="24"/>
          <w:szCs w:val="24"/>
          <w:rtl w:val="0"/>
          <w:lang w:val="en-US"/>
        </w:rPr>
        <w:t>1. Data.worldbank.org,. "Health Expenditure, Total (% Of GDP) | Data | Graph". N.p., 2016. Web. 5 Jan. 2016.</w:t>
      </w:r>
    </w:p>
    <w:p>
      <w:pPr>
        <w:pStyle w:val="Free Form"/>
        <w:spacing w:line="480" w:lineRule="auto"/>
        <w:ind w:firstLine="0"/>
        <w:jc w:val="both"/>
        <w:rPr>
          <w:rFonts w:ascii="Times New Roman" w:cs="Times New Roman" w:hAnsi="Times New Roman" w:eastAsia="Times New Roman"/>
        </w:rPr>
      </w:pPr>
      <w:r>
        <w:rPr>
          <w:rFonts w:ascii="Times New Roman"/>
          <w:sz w:val="24"/>
          <w:szCs w:val="24"/>
          <w:rtl w:val="0"/>
          <w:lang w:val="en-US"/>
        </w:rPr>
        <w:t>2. Encyclopedia Britannica,. "Public Expenditure | Finance". N.p., 2016. Web. 5 Jan. 2016.</w:t>
      </w:r>
    </w:p>
    <w:p>
      <w:pPr>
        <w:pStyle w:val="Free Form"/>
        <w:spacing w:line="480" w:lineRule="auto"/>
        <w:ind w:firstLine="0"/>
        <w:jc w:val="both"/>
        <w:rPr>
          <w:rFonts w:ascii="Times New Roman" w:cs="Times New Roman" w:hAnsi="Times New Roman" w:eastAsia="Times New Roman"/>
        </w:rPr>
      </w:pPr>
      <w:r>
        <w:rPr>
          <w:rFonts w:ascii="Times New Roman"/>
          <w:sz w:val="24"/>
          <w:szCs w:val="24"/>
          <w:rtl w:val="0"/>
          <w:lang w:val="en-US"/>
        </w:rPr>
        <w:t>3. Indexmundi.com,. "Vietnam - Health Expenditure". N.p., 2016. Web. 5 Jan. 2016.</w:t>
      </w:r>
    </w:p>
    <w:p>
      <w:pPr>
        <w:pStyle w:val="Free Form"/>
        <w:spacing w:line="480" w:lineRule="auto"/>
        <w:ind w:firstLine="0"/>
        <w:jc w:val="both"/>
        <w:rPr>
          <w:rFonts w:ascii="Times New Roman" w:cs="Times New Roman" w:hAnsi="Times New Roman" w:eastAsia="Times New Roman"/>
        </w:rPr>
      </w:pPr>
      <w:r>
        <w:rPr>
          <w:rFonts w:ascii="Times New Roman"/>
          <w:sz w:val="24"/>
          <w:szCs w:val="24"/>
          <w:rtl w:val="0"/>
          <w:lang w:val="en-US"/>
        </w:rPr>
        <w:t>4.TheGlobalEconomy.com,. "Vietnam Government Spending, Percent Of GDP - Data, Chart | Theglobaleconomy.Com". N.p., 2016. Web. 5 Jan. 2016.</w:t>
      </w:r>
    </w:p>
    <w:p>
      <w:pPr>
        <w:pStyle w:val="Free Form"/>
        <w:spacing w:line="480" w:lineRule="auto"/>
        <w:ind w:firstLine="0"/>
        <w:jc w:val="both"/>
        <w:rPr>
          <w:rFonts w:ascii="Times New Roman" w:cs="Times New Roman" w:hAnsi="Times New Roman" w:eastAsia="Times New Roman"/>
        </w:rPr>
      </w:pPr>
      <w:r>
        <w:rPr>
          <w:rFonts w:ascii="Times New Roman"/>
          <w:sz w:val="24"/>
          <w:szCs w:val="24"/>
          <w:rtl w:val="0"/>
          <w:lang w:val="en-US"/>
        </w:rPr>
        <w:t>5. Wikipedia,. "Public Expenditure". N.p., 2016. Web. 5 Jan. 2016.</w:t>
      </w:r>
    </w:p>
    <w:p>
      <w:pPr>
        <w:pStyle w:val="Body A"/>
        <w:spacing w:line="480" w:lineRule="auto"/>
      </w:pPr>
      <w:r>
        <w:rPr>
          <w:rFonts w:ascii="Times New Roman"/>
          <w:sz w:val="24"/>
          <w:szCs w:val="24"/>
          <w:rtl w:val="0"/>
          <w:lang w:val="en-US"/>
        </w:rPr>
        <w:t xml:space="preserve">     </w:t>
      </w:r>
    </w:p>
    <w:sectPr>
      <w:headerReference w:type="default" r:id="rId8"/>
      <w:footerReference w:type="default" r:id="rId9"/>
      <w:pgSz w:w="11900" w:h="16840" w:orient="portrait"/>
      <w:pgMar w:top="1440" w:right="1440" w:bottom="1440" w:left="14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 w:name="Baskerville Semi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510"/>
        <w:tab w:val="right" w:pos="9000"/>
        <w:tab w:val="clear" w:pos="9020"/>
      </w:tabs>
    </w:pPr>
    <w:r>
      <w:rPr>
        <w:sz w:val="20"/>
        <w:szCs w:val="20"/>
        <w:rtl w:val="0"/>
      </w:rPr>
      <w:tab/>
      <w:tab/>
    </w:r>
    <w:r>
      <w:rPr>
        <w:sz w:val="20"/>
        <w:szCs w:val="20"/>
        <w:rtl w:val="0"/>
      </w:rPr>
      <w:fldChar w:fldCharType="begin" w:fldLock="0"/>
    </w:r>
    <w:r>
      <w:rPr>
        <w:sz w:val="20"/>
        <w:szCs w:val="20"/>
        <w:rtl w:val="0"/>
      </w:rPr>
      <w:t xml:space="preserve"> PAGE </w:t>
    </w:r>
    <w:r>
      <w:rPr>
        <w:sz w:val="20"/>
        <w:szCs w:val="20"/>
        <w:rtl w:val="0"/>
      </w:rPr>
      <w:fldChar w:fldCharType="separate" w:fldLock="0"/>
    </w:r>
    <w:r>
      <w:rPr>
        <w:sz w:val="20"/>
        <w:szCs w:val="20"/>
        <w:rtl w:val="0"/>
      </w:rPr>
      <w:t>8</w:t>
    </w:r>
    <w:r>
      <w:rPr>
        <w:sz w:val="20"/>
        <w:szCs w:val="20"/>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right" w:pos="9000"/>
        <w:tab w:val="clear" w:pos="9020"/>
      </w:tabs>
      <w:jc w:val="right"/>
      <w:rPr>
        <w:rFonts w:ascii="Times New Roman" w:cs="Times New Roman" w:hAnsi="Times New Roman" w:eastAsia="Times New Roman"/>
      </w:rPr>
    </w:pPr>
    <w:r>
      <w:rPr>
        <w:rFonts w:ascii="Times New Roman"/>
        <w:sz w:val="20"/>
        <w:szCs w:val="20"/>
        <w:rtl w:val="0"/>
        <w:lang w:val="en-US"/>
      </w:rPr>
      <w:t>Pattaraporn  Ruengsri</w:t>
    </w:r>
  </w:p>
  <w:p>
    <w:pPr>
      <w:pStyle w:val="Header &amp; Footer"/>
      <w:tabs>
        <w:tab w:val="right" w:pos="9000"/>
        <w:tab w:val="clear" w:pos="9020"/>
      </w:tabs>
      <w:jc w:val="right"/>
    </w:pPr>
    <w:r>
      <w:rPr>
        <w:rFonts w:ascii="Times New Roman"/>
        <w:sz w:val="20"/>
        <w:szCs w:val="20"/>
        <w:rtl w:val="0"/>
        <w:lang w:val="en-US"/>
      </w:rPr>
      <w:t>5504641043</w:t>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pBdr>
        <w:top w:val="nil"/>
        <w:left w:val="nil"/>
        <w:bottom w:val="nil"/>
        <w:right w:val="nil"/>
      </w:pBdr>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Arial Unicode MS" w:eastAsia="Arial Unicode MS"/>
      <w:b w:val="0"/>
      <w:bCs w:val="0"/>
      <w:i w:val="0"/>
      <w:iCs w:val="0"/>
      <w:caps w:val="1"/>
      <w:strike w:val="0"/>
      <w:dstrike w:val="0"/>
      <w:outline w:val="0"/>
      <w:color w:val="000000"/>
      <w:spacing w:val="0"/>
      <w:kern w:val="0"/>
      <w:position w:val="0"/>
      <w:sz w:val="20"/>
      <w:szCs w:val="20"/>
      <w:u w:val="none" w:color="000000"/>
      <w:vertAlign w:val="baseline"/>
      <w:lang w:val="en-US"/>
    </w:rPr>
  </w:style>
  <w:style w:type="paragraph" w:styleId="Heading">
    <w:name w:val="Heading"/>
    <w:next w:val="Heading"/>
    <w:pPr>
      <w:keepNext w:val="0"/>
      <w:keepLines w:val="0"/>
      <w:pageBreakBefore w:val="0"/>
      <w:widowControl w:val="1"/>
      <w:pBdr>
        <w:top w:val="nil"/>
        <w:left w:val="nil"/>
        <w:bottom w:val="nil"/>
        <w:right w:val="nil"/>
      </w:pBdr>
      <w:shd w:val="clear" w:color="auto" w:fill="auto"/>
      <w:suppressAutoHyphens w:val="0"/>
      <w:bidi w:val="0"/>
      <w:spacing w:before="0" w:after="0" w:line="312" w:lineRule="auto"/>
      <w:ind w:left="0" w:right="0" w:firstLine="0"/>
      <w:jc w:val="left"/>
      <w:outlineLvl w:val="0"/>
    </w:pPr>
    <w:rPr>
      <w:rFonts w:ascii="Baskerville" w:cs="Baskerville" w:hAnsi="Baskerville" w:eastAsia="Baskerville"/>
      <w:b w:val="0"/>
      <w:bCs w:val="0"/>
      <w:i w:val="0"/>
      <w:iCs w:val="0"/>
      <w:caps w:val="0"/>
      <w:smallCaps w:val="0"/>
      <w:strike w:val="0"/>
      <w:dstrike w:val="0"/>
      <w:outline w:val="0"/>
      <w:color w:val="000000"/>
      <w:spacing w:val="0"/>
      <w:kern w:val="0"/>
      <w:position w:val="0"/>
      <w:sz w:val="26"/>
      <w:szCs w:val="26"/>
      <w:u w:val="none" w:color="000000"/>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360" w:lineRule="auto"/>
      <w:ind w:left="0" w:right="0" w:firstLine="540"/>
      <w:jc w:val="left"/>
      <w:outlineLvl w:val="9"/>
    </w:pPr>
    <w:rPr>
      <w:rFonts w:ascii="Baskerville"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able Title 1">
    <w:name w:val="Table Title 1"/>
    <w:next w:val="Table Title 1"/>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center"/>
      <w:outlineLvl w:val="9"/>
    </w:pPr>
    <w:rPr>
      <w:rFonts w:ascii="Baskerville SemiBold" w:cs="Arial Unicode MS" w:hAnsi="Arial Unicode MS" w:eastAsia="Arial Unicode MS"/>
      <w:b w:val="0"/>
      <w:bCs w:val="0"/>
      <w:i w:val="0"/>
      <w:iCs w:val="0"/>
      <w:caps w:val="0"/>
      <w:smallCaps w:val="0"/>
      <w:strike w:val="0"/>
      <w:dstrike w:val="0"/>
      <w:outline w:val="0"/>
      <w:color w:val="434343"/>
      <w:spacing w:val="0"/>
      <w:kern w:val="0"/>
      <w:position w:val="0"/>
      <w:sz w:val="24"/>
      <w:szCs w:val="24"/>
      <w:u w:val="none" w:color="434343"/>
      <w:vertAlign w:val="baseline"/>
      <w:lang w:val="fr-FR"/>
    </w:rPr>
  </w:style>
  <w:style w:type="paragraph" w:styleId="Table Style 1">
    <w:name w:val="Table Style 1"/>
    <w:next w:val="Table Style 1"/>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Baskerville SemiBold" w:cs="Arial Unicode MS" w:hAnsi="Arial Unicode MS" w:eastAsia="Arial Unicode MS"/>
      <w:b w:val="0"/>
      <w:bCs w:val="0"/>
      <w:i w:val="0"/>
      <w:iCs w:val="0"/>
      <w:caps w:val="0"/>
      <w:smallCaps w:val="0"/>
      <w:strike w:val="0"/>
      <w:dstrike w:val="0"/>
      <w:outline w:val="0"/>
      <w:color w:val="314924"/>
      <w:spacing w:val="0"/>
      <w:kern w:val="0"/>
      <w:position w:val="0"/>
      <w:sz w:val="20"/>
      <w:szCs w:val="20"/>
      <w:u w:val="none" w:color="314924"/>
      <w:vertAlign w:val="baseline"/>
      <w:lang w:val="en-US"/>
    </w:rPr>
  </w:style>
  <w:style w:type="paragraph" w:styleId="Table Style 2">
    <w:name w:val="Table Style 2"/>
    <w:next w:val="Table Style 2"/>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Baskerville" w:cs="Arial Unicode MS" w:hAnsi="Arial Unicode MS" w:eastAsia="Arial Unicode MS"/>
      <w:b w:val="0"/>
      <w:bCs w:val="0"/>
      <w:i w:val="0"/>
      <w:iCs w:val="0"/>
      <w:caps w:val="0"/>
      <w:smallCaps w:val="0"/>
      <w:strike w:val="0"/>
      <w:dstrike w:val="0"/>
      <w:outline w:val="0"/>
      <w:color w:val="314924"/>
      <w:spacing w:val="0"/>
      <w:kern w:val="0"/>
      <w:position w:val="0"/>
      <w:sz w:val="20"/>
      <w:szCs w:val="20"/>
      <w:u w:val="none" w:color="314924"/>
      <w:vertAlign w:val="baseline"/>
      <w:lang w:val="en-US"/>
    </w:rPr>
  </w:style>
  <w:style w:type="paragraph" w:styleId="Free Form">
    <w:name w:val="Free Form"/>
    <w:next w:val="Free Form"/>
    <w:pPr>
      <w:keepNext w:val="0"/>
      <w:keepLines w:val="0"/>
      <w:pageBreakBefore w:val="0"/>
      <w:widowControl w:val="1"/>
      <w:pBdr>
        <w:top w:val="nil"/>
        <w:left w:val="nil"/>
        <w:bottom w:val="nil"/>
        <w:right w:val="nil"/>
      </w:pBdr>
      <w:shd w:val="clear" w:color="auto" w:fill="auto"/>
      <w:suppressAutoHyphens w:val="0"/>
      <w:bidi w:val="0"/>
      <w:spacing w:before="0" w:after="0" w:line="360" w:lineRule="auto"/>
      <w:ind w:left="0" w:right="0" w:firstLine="540"/>
      <w:jc w:val="left"/>
      <w:outlineLvl w:val="9"/>
    </w:pPr>
    <w:rPr>
      <w:rFonts w:ascii="Baskerville" w:cs="Baskerville" w:hAnsi="Baskerville" w:eastAsia="Baskerville"/>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chart" Target="charts/chart3.xml"/><Relationship Id="rId7" Type="http://schemas.openxmlformats.org/officeDocument/2006/relationships/chart" Target="charts/chart4.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charts/_rels/chart1.xml.rels><?xml version="1.0" encoding="UTF-8" standalone="yes"?><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Relationships xmlns="http://schemas.openxmlformats.org/package/2006/relationships"><Relationship Id="rId1" Type="http://schemas.openxmlformats.org/officeDocument/2006/relationships/package" Target="../embeddings/Microsoft_Excel_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0833333"/>
          <c:y val="0.0849671"/>
          <c:w val="0.833333"/>
          <c:h val="0.915033"/>
        </c:manualLayout>
      </c:layout>
      <c:pieChart>
        <c:varyColors val="0"/>
        <c:ser>
          <c:idx val="0"/>
          <c:order val="0"/>
          <c:tx>
            <c:strRef>
              <c:f>Sheet1!$A$2</c:f>
              <c:strCache>
                <c:pt idx="0">
                  <c:v>Region 1</c:v>
                </c:pt>
              </c:strCache>
            </c:strRef>
          </c:tx>
          <c:spPr>
            <a:gradFill flip="none" rotWithShape="1">
              <a:gsLst>
                <a:gs pos="0">
                  <a:srgbClr val="51A7F9"/>
                </a:gs>
                <a:gs pos="100000">
                  <a:srgbClr val="0365C0"/>
                </a:gs>
              </a:gsLst>
              <a:lin ang="5400000" scaled="0"/>
            </a:gradFill>
            <a:ln w="12700" cap="flat">
              <a:noFill/>
              <a:miter lim="400000"/>
            </a:ln>
            <a:effectLst/>
          </c:spPr>
          <c:explosion val="0"/>
          <c:dPt>
            <c:idx val="0"/>
            <c:explosion val="0"/>
            <c:spPr>
              <a:gradFill flip="none" rotWithShape="1">
                <a:gsLst>
                  <a:gs pos="0">
                    <a:srgbClr val="51A7F9"/>
                  </a:gs>
                  <a:gs pos="100000">
                    <a:srgbClr val="0365C0"/>
                  </a:gs>
                </a:gsLst>
                <a:lin ang="5400000" scaled="0"/>
              </a:gradFill>
              <a:ln w="12700" cap="flat">
                <a:noFill/>
                <a:miter lim="400000"/>
              </a:ln>
              <a:effectLst/>
            </c:spPr>
          </c:dPt>
          <c:dPt>
            <c:idx val="1"/>
            <c:explosion val="0"/>
            <c:spPr>
              <a:gradFill flip="none" rotWithShape="1">
                <a:gsLst>
                  <a:gs pos="0">
                    <a:srgbClr val="70BF41"/>
                  </a:gs>
                  <a:gs pos="100000">
                    <a:srgbClr val="00882B"/>
                  </a:gs>
                </a:gsLst>
                <a:lin ang="5400000" scaled="0"/>
              </a:gradFill>
              <a:ln w="12700" cap="flat">
                <a:noFill/>
                <a:miter lim="400000"/>
              </a:ln>
              <a:effectLst/>
            </c:spPr>
          </c:dPt>
          <c:dPt>
            <c:idx val="2"/>
            <c:explosion val="0"/>
            <c:spPr>
              <a:gradFill flip="none" rotWithShape="1">
                <a:gsLst>
                  <a:gs pos="0">
                    <a:srgbClr val="FBE12B"/>
                  </a:gs>
                  <a:gs pos="100000">
                    <a:srgbClr val="BE9A1A"/>
                  </a:gs>
                </a:gsLst>
                <a:lin ang="5400000" scaled="0"/>
              </a:gradFill>
              <a:ln w="12700" cap="flat">
                <a:noFill/>
                <a:miter lim="400000"/>
              </a:ln>
              <a:effectLst/>
            </c:spPr>
          </c:dPt>
          <c:dPt>
            <c:idx val="3"/>
            <c:explosion val="0"/>
            <c:spPr>
              <a:gradFill flip="none" rotWithShape="1">
                <a:gsLst>
                  <a:gs pos="0">
                    <a:srgbClr val="EF951A"/>
                  </a:gs>
                  <a:gs pos="100000">
                    <a:srgbClr val="DE6A10"/>
                  </a:gs>
                </a:gsLst>
                <a:lin ang="5400000" scaled="0"/>
              </a:gradFill>
              <a:ln w="12700" cap="flat">
                <a:noFill/>
                <a:miter lim="400000"/>
              </a:ln>
              <a:effectLst/>
            </c:spPr>
          </c:dPt>
          <c:dLbls>
            <c:dLbl>
              <c:idx val="0"/>
              <c:numFmt formatCode="#,##0%" sourceLinked="0"/>
              <c:txPr>
                <a:bodyPr/>
                <a:lstStyle/>
                <a:p>
                  <a:pPr lvl="0">
                    <a:defRPr b="0" i="0" strike="noStrike" sz="1200" u="none">
                      <a:solidFill>
                        <a:srgbClr val="FFFFFF"/>
                      </a:solidFill>
                      <a:effectLst/>
                      <a:latin typeface="Helvetica"/>
                    </a:defRPr>
                  </a:pPr>
                  <a:r>
                    <a:rPr b="0" i="0" strike="noStrike" sz="1200" u="none">
                      <a:solidFill>
                        <a:srgbClr val="FFFFFF"/>
                      </a:solidFill>
                      <a:effectLst/>
                      <a:latin typeface="Helvetica"/>
                    </a:rPr>
                    <a:t/>
                  </a:r>
                </a:p>
              </c:txPr>
              <c:dLblPos val="inEnd"/>
              <c:showLegendKey val="0"/>
              <c:showVal val="0"/>
              <c:showCatName val="0"/>
              <c:showSerName val="0"/>
              <c:showPercent val="1"/>
              <c:showBubbleSize val="0"/>
            </c:dLbl>
            <c:dLbl>
              <c:idx val="1"/>
              <c:numFmt formatCode="#,##0%" sourceLinked="0"/>
              <c:txPr>
                <a:bodyPr/>
                <a:lstStyle/>
                <a:p>
                  <a:pPr lvl="0">
                    <a:defRPr b="0" i="0" strike="noStrike" sz="1200" u="none">
                      <a:solidFill>
                        <a:srgbClr val="FFFFFF"/>
                      </a:solidFill>
                      <a:effectLst/>
                      <a:latin typeface="Helvetica"/>
                    </a:defRPr>
                  </a:pPr>
                  <a:r>
                    <a:rPr b="0" i="0" strike="noStrike" sz="1200" u="none">
                      <a:solidFill>
                        <a:srgbClr val="FFFFFF"/>
                      </a:solidFill>
                      <a:effectLst/>
                      <a:latin typeface="Helvetica"/>
                    </a:rPr>
                    <a:t/>
                  </a:r>
                </a:p>
              </c:txPr>
              <c:dLblPos val="inEnd"/>
              <c:showLegendKey val="0"/>
              <c:showVal val="0"/>
              <c:showCatName val="0"/>
              <c:showSerName val="0"/>
              <c:showPercent val="1"/>
              <c:showBubbleSize val="0"/>
            </c:dLbl>
            <c:dLbl>
              <c:idx val="2"/>
              <c:numFmt formatCode="#,##0%" sourceLinked="0"/>
              <c:txPr>
                <a:bodyPr/>
                <a:lstStyle/>
                <a:p>
                  <a:pPr lvl="0">
                    <a:defRPr b="0" i="0" strike="noStrike" sz="1200" u="none">
                      <a:solidFill>
                        <a:srgbClr val="FFFFFF"/>
                      </a:solidFill>
                      <a:effectLst/>
                      <a:latin typeface="Helvetica"/>
                    </a:defRPr>
                  </a:pPr>
                  <a:r>
                    <a:rPr b="0" i="0" strike="noStrike" sz="1200" u="none">
                      <a:solidFill>
                        <a:srgbClr val="FFFFFF"/>
                      </a:solidFill>
                      <a:effectLst/>
                      <a:latin typeface="Helvetica"/>
                    </a:rPr>
                    <a:t/>
                  </a:r>
                </a:p>
              </c:txPr>
              <c:dLblPos val="inEnd"/>
              <c:showLegendKey val="0"/>
              <c:showVal val="0"/>
              <c:showCatName val="0"/>
              <c:showSerName val="0"/>
              <c:showPercent val="1"/>
              <c:showBubbleSize val="0"/>
            </c:dLbl>
            <c:dLbl>
              <c:idx val="3"/>
              <c:numFmt formatCode="#,##0%" sourceLinked="0"/>
              <c:txPr>
                <a:bodyPr/>
                <a:lstStyle/>
                <a:p>
                  <a:pPr lvl="0">
                    <a:defRPr b="0" i="0" strike="noStrike" sz="1200" u="none">
                      <a:solidFill>
                        <a:srgbClr val="FFFFFF"/>
                      </a:solidFill>
                      <a:effectLst/>
                      <a:latin typeface="Helvetica"/>
                    </a:defRPr>
                  </a:pPr>
                  <a:r>
                    <a:rPr b="0" i="0" strike="noStrike" sz="1200" u="none">
                      <a:solidFill>
                        <a:srgbClr val="FFFFFF"/>
                      </a:solidFill>
                      <a:effectLst/>
                      <a:latin typeface="Helvetica"/>
                    </a:rPr>
                    <a:t/>
                  </a:r>
                </a:p>
              </c:txPr>
              <c:dLblPos val="inEnd"/>
              <c:showLegendKey val="0"/>
              <c:showVal val="0"/>
              <c:showCatName val="0"/>
              <c:showSerName val="0"/>
              <c:showPercent val="1"/>
              <c:showBubbleSize val="0"/>
            </c:dLbl>
            <c:numFmt formatCode="#,##0%" sourceLinked="0"/>
            <c:txPr>
              <a:bodyPr/>
              <a:lstStyle/>
              <a:p>
                <a:pPr lvl="0">
                  <a:defRPr b="0" i="0" strike="noStrike" sz="1200" u="none">
                    <a:solidFill>
                      <a:srgbClr val="FFFFFF"/>
                    </a:solidFill>
                    <a:effectLst/>
                    <a:latin typeface="Helvetica"/>
                  </a:defRPr>
                </a:pPr>
                <a:r>
                  <a:rPr b="0" i="0" strike="noStrike" sz="1200" u="none">
                    <a:solidFill>
                      <a:srgbClr val="FFFFFF"/>
                    </a:solidFill>
                    <a:effectLst/>
                    <a:latin typeface="Helvetica"/>
                  </a:rPr>
                  <a:t/>
                </a:r>
              </a:p>
            </c:txPr>
            <c:dLblPos val="inEnd"/>
            <c:showLegendKey val="0"/>
            <c:showVal val="0"/>
            <c:showCatName val="0"/>
            <c:showSerName val="0"/>
            <c:showPercent val="1"/>
            <c:showBubbleSize val="0"/>
            <c:showLeaderLines val="0"/>
          </c:dLbls>
          <c:cat>
            <c:strRef>
              <c:f>Sheet1!$B$1:$E$1</c:f>
              <c:strCache>
                <c:ptCount val="4"/>
                <c:pt idx="0">
                  <c:v>Education</c:v>
                </c:pt>
                <c:pt idx="1">
                  <c:v>Health</c:v>
                </c:pt>
                <c:pt idx="2">
                  <c:v>Energy</c:v>
                </c:pt>
                <c:pt idx="3">
                  <c:v>Others</c:v>
                </c:pt>
              </c:strCache>
            </c:strRef>
          </c:cat>
          <c:val>
            <c:numRef>
              <c:f>Sheet1!$B$2:$E$2</c:f>
              <c:numCache>
                <c:ptCount val="4"/>
                <c:pt idx="0">
                  <c:v>0.250000</c:v>
                </c:pt>
                <c:pt idx="1">
                  <c:v>0.120000</c:v>
                </c:pt>
                <c:pt idx="2">
                  <c:v>0.280000</c:v>
                </c:pt>
                <c:pt idx="3">
                  <c:v>0.350000</c:v>
                </c:pt>
              </c:numCache>
            </c:numRef>
          </c:val>
        </c:ser>
        <c:firstSliceAng val="0"/>
      </c:pieChart>
      <c:spPr>
        <a:noFill/>
        <a:ln w="12700" cap="flat">
          <a:noFill/>
          <a:miter lim="400000"/>
        </a:ln>
        <a:effectLst/>
      </c:spPr>
    </c:plotArea>
    <c:legend>
      <c:legendPos val="t"/>
      <c:layout>
        <c:manualLayout>
          <c:xMode val="edge"/>
          <c:yMode val="edge"/>
          <c:x val="0.005"/>
          <c:y val="0.005"/>
          <c:w val="1"/>
          <c:h val="0.0693371"/>
        </c:manualLayout>
      </c:layout>
      <c:overlay val="1"/>
      <c:spPr>
        <a:noFill/>
        <a:ln w="12700" cap="flat">
          <a:noFill/>
          <a:miter lim="400000"/>
        </a:ln>
        <a:effectLst/>
      </c:spPr>
      <c:txPr>
        <a:bodyPr/>
        <a:lstStyle/>
        <a:p>
          <a:pPr lvl="0">
            <a:defRPr b="0" i="0" strike="noStrike" sz="1000" u="none">
              <a:solidFill>
                <a:srgbClr val="000000"/>
              </a:solidFill>
              <a:effectLst/>
              <a:latin typeface="Helvetica"/>
            </a:defRPr>
          </a:pPr>
        </a:p>
      </c:txPr>
    </c:legend>
    <c:plotVisOnly val="1"/>
    <c:dispBlanksAs val="gap"/>
  </c:chart>
  <c:spPr>
    <a:noFill/>
    <a:ln>
      <a:noFill/>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defRPr b="0" i="0" strike="noStrike" sz="1200" u="none">
                <a:solidFill>
                  <a:srgbClr val="000000"/>
                </a:solidFill>
                <a:effectLst/>
                <a:latin typeface="Helvetica"/>
              </a:defRPr>
            </a:pPr>
            <a:r>
              <a:rPr b="0" i="0" strike="noStrike" sz="1200" u="none">
                <a:solidFill>
                  <a:srgbClr val="000000"/>
                </a:solidFill>
                <a:effectLst/>
                <a:latin typeface="Helvetica"/>
              </a:rPr>
              <a:t>The change of public spending during the past 5 years.</a:t>
            </a:r>
          </a:p>
        </c:rich>
      </c:tx>
      <c:layout>
        <c:manualLayout>
          <c:xMode val="edge"/>
          <c:yMode val="edge"/>
          <c:x val="0.154565"/>
          <c:y val="0.005"/>
          <c:w val="0.69087"/>
          <c:h val="0.0847728"/>
        </c:manualLayout>
      </c:layout>
      <c:overlay val="1"/>
      <c:spPr>
        <a:noFill/>
        <a:effectLst/>
      </c:spPr>
    </c:title>
    <c:autoTitleDeleted val="1"/>
    <c:plotArea>
      <c:layout>
        <c:manualLayout>
          <c:layoutTarget val="inner"/>
          <c:xMode val="edge"/>
          <c:yMode val="edge"/>
          <c:x val="0.0720268"/>
          <c:y val="0.0847728"/>
          <c:w val="0.927973"/>
          <c:h val="0.85219"/>
        </c:manualLayout>
      </c:layout>
      <c:barChart>
        <c:barDir val="col"/>
        <c:grouping val="clustered"/>
        <c:varyColors val="0"/>
        <c:ser>
          <c:idx val="0"/>
          <c:order val="0"/>
          <c:tx>
            <c:strRef>
              <c:f>Sheet1!$A$2</c:f>
              <c:strCache>
                <c:pt idx="0">
                  <c:v>Region 1</c:v>
                </c:pt>
              </c:strCache>
            </c:strRef>
          </c:tx>
          <c:spPr>
            <a:gradFill flip="none" rotWithShape="1">
              <a:gsLst>
                <a:gs pos="0">
                  <a:srgbClr val="51A7F9"/>
                </a:gs>
                <a:gs pos="100000">
                  <a:srgbClr val="0365C0"/>
                </a:gs>
              </a:gsLst>
              <a:lin ang="5400000" scaled="0"/>
            </a:gra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Helvetica"/>
                  </a:defRPr>
                </a:pPr>
                <a:r>
                  <a:rPr b="0" i="0" strike="noStrike" sz="1200" u="none">
                    <a:solidFill>
                      <a:srgbClr val="FFFFFF"/>
                    </a:solidFill>
                    <a:effectLst/>
                    <a:latin typeface="Helvetica"/>
                  </a:rPr>
                  <a:t/>
                </a:r>
              </a:p>
            </c:txPr>
            <c:dLblPos val="inEnd"/>
            <c:showLegendKey val="0"/>
            <c:showVal val="0"/>
            <c:showCatName val="0"/>
            <c:showSerName val="0"/>
            <c:showPercent val="0"/>
            <c:showBubbleSize val="0"/>
            <c:showLeaderLines val="0"/>
          </c:dLbls>
          <c:cat>
            <c:strRef>
              <c:f>Sheet1!$B$1:$F$1</c:f>
              <c:strCache>
                <c:ptCount val="5"/>
                <c:pt idx="0">
                  <c:v>2010</c:v>
                </c:pt>
                <c:pt idx="1">
                  <c:v>2011</c:v>
                </c:pt>
                <c:pt idx="2">
                  <c:v>2012</c:v>
                </c:pt>
                <c:pt idx="3">
                  <c:v>2013</c:v>
                </c:pt>
                <c:pt idx="4">
                  <c:v>2014</c:v>
                </c:pt>
              </c:strCache>
            </c:strRef>
          </c:cat>
          <c:val>
            <c:numRef>
              <c:f>Sheet1!$B$2:$F$2</c:f>
              <c:numCache>
                <c:ptCount val="5"/>
                <c:pt idx="0">
                  <c:v>5.990000</c:v>
                </c:pt>
                <c:pt idx="1">
                  <c:v>5.910000</c:v>
                </c:pt>
                <c:pt idx="2">
                  <c:v>5.930000</c:v>
                </c:pt>
                <c:pt idx="3">
                  <c:v>6.160000</c:v>
                </c:pt>
                <c:pt idx="4">
                  <c:v>6.300000</c:v>
                </c:pt>
              </c:numCache>
            </c:numRef>
          </c:val>
        </c:ser>
        <c:gapWidth val="40"/>
        <c:overlap val="-10"/>
        <c:axId val="0"/>
        <c:axId val="1"/>
      </c:barChart>
      <c:catAx>
        <c:axId val="0"/>
        <c:scaling>
          <c:orientation val="minMax"/>
        </c:scaling>
        <c:delete val="0"/>
        <c:axPos val="b"/>
        <c:numFmt formatCode="General" sourceLinked="1"/>
        <c:majorTickMark val="none"/>
        <c:minorTickMark val="none"/>
        <c:tickLblPos val="low"/>
        <c:spPr>
          <a:ln w="12700" cap="flat">
            <a:solidFill>
              <a:srgbClr val="000000"/>
            </a:solidFill>
            <a:prstDash val="solid"/>
            <a:miter lim="400000"/>
          </a:ln>
        </c:spPr>
        <c:txPr>
          <a:bodyPr rot="0"/>
          <a:lstStyle/>
          <a:p>
            <a:pPr lvl="0">
              <a:defRPr b="0" i="0" strike="noStrike" sz="1000" u="none">
                <a:solidFill>
                  <a:srgbClr val="000000"/>
                </a:solidFill>
                <a:effectLst/>
                <a:latin typeface="Helvetica"/>
              </a:defRPr>
            </a:pPr>
          </a:p>
        </c:txPr>
        <c:crossAx val="1"/>
        <c:crosses val="autoZero"/>
        <c:auto val="1"/>
        <c:lblAlgn val="ctr"/>
        <c:noMultiLvlLbl val="1"/>
      </c:catAx>
      <c:valAx>
        <c:axId val="1"/>
        <c:scaling>
          <c:orientation val="minMax"/>
        </c:scaling>
        <c:delete val="0"/>
        <c:axPos val="l"/>
        <c:majorGridlines>
          <c:spPr>
            <a:ln w="12700" cap="flat">
              <a:solidFill>
                <a:srgbClr val="B8B8B8"/>
              </a:solidFill>
              <a:prstDash val="solid"/>
              <a:miter lim="400000"/>
            </a:ln>
          </c:spPr>
        </c:majorGridlines>
        <c:numFmt formatCode="0.##" sourceLinked="0"/>
        <c:majorTickMark val="none"/>
        <c:minorTickMark val="none"/>
        <c:tickLblPos val="nextTo"/>
        <c:spPr>
          <a:ln w="12700" cap="flat">
            <a:noFill/>
            <a:prstDash val="solid"/>
            <a:miter lim="400000"/>
          </a:ln>
        </c:spPr>
        <c:txPr>
          <a:bodyPr rot="0"/>
          <a:lstStyle/>
          <a:p>
            <a:pPr lvl="0">
              <a:defRPr b="0" i="0" strike="noStrike" sz="1000" u="none">
                <a:solidFill>
                  <a:srgbClr val="000000"/>
                </a:solidFill>
                <a:effectLst/>
                <a:latin typeface="Helvetica"/>
              </a:defRPr>
            </a:pPr>
          </a:p>
        </c:txPr>
        <c:crossAx val="0"/>
        <c:crosses val="autoZero"/>
        <c:crossBetween val="between"/>
        <c:majorUnit val="0.125"/>
        <c:minorUnit val="0.0625"/>
      </c:valAx>
      <c:spPr>
        <a:noFill/>
        <a:ln w="12700" cap="flat">
          <a:noFill/>
          <a:miter lim="400000"/>
        </a:ln>
        <a:effectLst/>
      </c:spPr>
    </c:plotArea>
    <c:plotVisOnly val="1"/>
    <c:dispBlanksAs val="gap"/>
  </c:chart>
  <c:spPr>
    <a:noFill/>
    <a:ln>
      <a:noFill/>
    </a:ln>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defRPr b="0" i="0" strike="noStrike" sz="1200" u="sng">
                <a:solidFill>
                  <a:srgbClr val="444444"/>
                </a:solidFill>
                <a:effectLst/>
                <a:latin typeface="Baskerville SemiBold"/>
              </a:defRPr>
            </a:pPr>
            <a:r>
              <a:rPr b="0" i="0" strike="noStrike" sz="1200" u="sng">
                <a:solidFill>
                  <a:srgbClr val="444444"/>
                </a:solidFill>
                <a:effectLst/>
                <a:latin typeface="Baskerville SemiBold"/>
              </a:rPr>
              <a:t>Appendix 1 ;Vietnam health expenditure as a percentage of government spending.</a:t>
            </a:r>
          </a:p>
        </c:rich>
      </c:tx>
      <c:layout>
        <c:manualLayout>
          <c:xMode val="edge"/>
          <c:yMode val="edge"/>
          <c:x val="0.005"/>
          <c:y val="0.005"/>
          <c:w val="1.05205"/>
          <c:h val="0.145937"/>
        </c:manualLayout>
      </c:layout>
      <c:overlay val="1"/>
      <c:spPr>
        <a:noFill/>
        <a:effectLst/>
      </c:spPr>
    </c:title>
    <c:autoTitleDeleted val="1"/>
    <c:plotArea>
      <c:layout>
        <c:manualLayout>
          <c:layoutTarget val="inner"/>
          <c:xMode val="edge"/>
          <c:yMode val="edge"/>
          <c:x val="0.062367"/>
          <c:y val="0.145937"/>
          <c:w val="0.869485"/>
          <c:h val="0.605309"/>
        </c:manualLayout>
      </c:layout>
      <c:lineChart>
        <c:grouping val="standard"/>
        <c:varyColors val="0"/>
        <c:ser>
          <c:idx val="0"/>
          <c:order val="0"/>
          <c:tx>
            <c:strRef>
              <c:f>Sheet1!$B$1</c:f>
              <c:strCache/>
            </c:strRef>
          </c:tx>
          <c:spPr>
            <a:solidFill>
              <a:srgbClr val="FFFFFF"/>
            </a:solidFill>
            <a:ln w="50800" cap="flat">
              <a:solidFill>
                <a:srgbClr val="4C7196"/>
              </a:solidFill>
              <a:prstDash val="solid"/>
              <a:miter lim="400000"/>
            </a:ln>
            <a:effectLst/>
          </c:spPr>
          <c:marker>
            <c:symbol val="circle"/>
            <c:size val="2"/>
            <c:spPr>
              <a:solidFill>
                <a:srgbClr val="FFFFFF"/>
              </a:solidFill>
              <a:ln w="50800" cap="flat">
                <a:solidFill>
                  <a:srgbClr val="4C7196"/>
                </a:solidFill>
                <a:prstDash val="solid"/>
                <a:miter lim="400000"/>
              </a:ln>
              <a:effectLst/>
            </c:spPr>
          </c:marker>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t"/>
            <c:showLegendKey val="0"/>
            <c:showVal val="0"/>
            <c:showCatName val="0"/>
            <c:showSerName val="0"/>
            <c:showPercent val="0"/>
            <c:showBubbleSize val="0"/>
            <c:showLeaderLines val="0"/>
          </c:dLbls>
          <c:cat>
            <c:strRef>
              <c:f>Sheet1!$A$2:$A$3</c:f>
              <c:strCache>
                <c:ptCount val="2"/>
                <c:pt idx="0">
                  <c:v>Region 1</c:v>
                </c:pt>
                <c:pt idx="1">
                  <c:v/>
                </c:pt>
              </c:strCache>
            </c:strRef>
          </c:cat>
          <c:val>
            <c:numRef>
              <c:f>Sheet1!$B$2:$B$3</c:f>
              <c:numCache>
                <c:ptCount val="1"/>
                <c:pt idx="0">
                  <c:v>100.000000</c:v>
                </c:pt>
              </c:numCache>
            </c:numRef>
          </c:val>
          <c:smooth val="0"/>
        </c:ser>
        <c:marker val="1"/>
        <c:axId val="0"/>
        <c:axId val="1"/>
      </c:lineChart>
      <c:barChart>
        <c:barDir val="col"/>
        <c:grouping val="clustered"/>
        <c:varyColors val="0"/>
        <c:ser>
          <c:idx val="1"/>
          <c:order val="1"/>
          <c:tx>
            <c:strRef>
              <c:f>Sheet1!$C$1</c:f>
              <c:strCache>
                <c:pt idx="0">
                  <c:v>2004</c:v>
                </c:pt>
              </c:strCache>
            </c:strRef>
          </c:tx>
          <c:spPr>
            <a:solidFill>
              <a:srgbClr val="4D683D"/>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Sheet1!$C$2:$C$3</c:f>
              <c:numCache>
                <c:ptCount val="1"/>
                <c:pt idx="0">
                  <c:v>5.490000</c:v>
                </c:pt>
              </c:numCache>
            </c:numRef>
          </c:val>
        </c:ser>
        <c:ser>
          <c:idx val="2"/>
          <c:order val="2"/>
          <c:tx>
            <c:strRef>
              <c:f>Sheet1!$D$1</c:f>
              <c:strCache>
                <c:pt idx="0">
                  <c:v>2005</c:v>
                </c:pt>
              </c:strCache>
            </c:strRef>
          </c:tx>
          <c:spPr>
            <a:solidFill>
              <a:srgbClr val="A37017"/>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Sheet1!$D$2:$D$3</c:f>
              <c:numCache>
                <c:ptCount val="1"/>
                <c:pt idx="0">
                  <c:v>5.240000</c:v>
                </c:pt>
              </c:numCache>
            </c:numRef>
          </c:val>
        </c:ser>
        <c:ser>
          <c:idx val="3"/>
          <c:order val="3"/>
          <c:tx>
            <c:strRef>
              <c:f>Sheet1!$E$1</c:f>
              <c:strCache>
                <c:pt idx="0">
                  <c:v>2006</c:v>
                </c:pt>
              </c:strCache>
            </c:strRef>
          </c:tx>
          <c:spPr>
            <a:solidFill>
              <a:srgbClr val="922022"/>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Sheet1!$E$2:$E$3</c:f>
              <c:numCache>
                <c:ptCount val="1"/>
                <c:pt idx="0">
                  <c:v>7.480000</c:v>
                </c:pt>
              </c:numCache>
            </c:numRef>
          </c:val>
        </c:ser>
        <c:ser>
          <c:idx val="4"/>
          <c:order val="4"/>
          <c:tx>
            <c:strRef>
              <c:f>Sheet1!$F$1</c:f>
              <c:strCache>
                <c:pt idx="0">
                  <c:v>2007</c:v>
                </c:pt>
              </c:strCache>
            </c:strRef>
          </c:tx>
          <c:spPr>
            <a:solidFill>
              <a:srgbClr val="4E485D"/>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Sheet1!$F$2:$F$3</c:f>
              <c:numCache>
                <c:ptCount val="1"/>
                <c:pt idx="0">
                  <c:v>9.200000</c:v>
                </c:pt>
              </c:numCache>
            </c:numRef>
          </c:val>
        </c:ser>
        <c:ser>
          <c:idx val="5"/>
          <c:order val="5"/>
          <c:tx>
            <c:strRef>
              <c:f>Sheet1!$G$1</c:f>
              <c:strCache>
                <c:pt idx="0">
                  <c:v>2008</c:v>
                </c:pt>
              </c:strCache>
            </c:strRef>
          </c:tx>
          <c:spPr>
            <a:solidFill>
              <a:srgbClr val="9A958E"/>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Sheet1!$G$2:$G$3</c:f>
              <c:numCache>
                <c:ptCount val="1"/>
                <c:pt idx="0">
                  <c:v>8.040000</c:v>
                </c:pt>
              </c:numCache>
            </c:numRef>
          </c:val>
        </c:ser>
        <c:ser>
          <c:idx val="6"/>
          <c:order val="6"/>
          <c:tx>
            <c:strRef>
              <c:f>Sheet1!$H$1</c:f>
              <c:strCache>
                <c:pt idx="0">
                  <c:v>2009</c:v>
                </c:pt>
              </c:strCache>
            </c:strRef>
          </c:tx>
          <c:spPr>
            <a:solidFill>
              <a:srgbClr val="5E81A4"/>
            </a:solidFill>
            <a:ln w="50800" cap="flat">
              <a:solidFill>
                <a:srgbClr val="5E81A4"/>
              </a:solidFill>
              <a:prstDash val="solid"/>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Sheet1!$H$2:$H$3</c:f>
              <c:numCache>
                <c:ptCount val="1"/>
                <c:pt idx="0">
                  <c:v>8.520000</c:v>
                </c:pt>
              </c:numCache>
            </c:numRef>
          </c:val>
        </c:ser>
        <c:ser>
          <c:idx val="7"/>
          <c:order val="7"/>
          <c:tx>
            <c:strRef>
              <c:f>Sheet1!$I$1</c:f>
              <c:strCache>
                <c:pt idx="0">
                  <c:v>2010</c:v>
                </c:pt>
              </c:strCache>
            </c:strRef>
          </c:tx>
          <c:spPr>
            <a:solidFill>
              <a:srgbClr val="607C4F"/>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Sheet1!$I$2:$I$3</c:f>
              <c:numCache>
                <c:ptCount val="1"/>
                <c:pt idx="0">
                  <c:v>10.100000</c:v>
                </c:pt>
              </c:numCache>
            </c:numRef>
          </c:val>
        </c:ser>
        <c:ser>
          <c:idx val="8"/>
          <c:order val="8"/>
          <c:tx>
            <c:strRef>
              <c:f>Sheet1!$J$1</c:f>
              <c:strCache>
                <c:pt idx="0">
                  <c:v>2011</c:v>
                </c:pt>
              </c:strCache>
            </c:strRef>
          </c:tx>
          <c:spPr>
            <a:solidFill>
              <a:srgbClr val="AF7F2D"/>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Sheet1!$J$2:$J$3</c:f>
              <c:numCache>
                <c:ptCount val="1"/>
                <c:pt idx="0">
                  <c:v>10.610000</c:v>
                </c:pt>
              </c:numCache>
            </c:numRef>
          </c:val>
        </c:ser>
        <c:ser>
          <c:idx val="9"/>
          <c:order val="9"/>
          <c:tx>
            <c:strRef>
              <c:f>Sheet1!$K$1</c:f>
              <c:strCache>
                <c:pt idx="0">
                  <c:v>2012</c:v>
                </c:pt>
              </c:strCache>
            </c:strRef>
          </c:tx>
          <c:spPr>
            <a:solidFill>
              <a:srgbClr val="A03436"/>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Sheet1!$K$2:$K$3</c:f>
              <c:numCache>
                <c:ptCount val="1"/>
                <c:pt idx="0">
                  <c:v>9.330000</c:v>
                </c:pt>
              </c:numCache>
            </c:numRef>
          </c:val>
        </c:ser>
        <c:ser>
          <c:idx val="10"/>
          <c:order val="10"/>
          <c:tx>
            <c:strRef>
              <c:f>Sheet1!$L$1</c:f>
              <c:strCache>
                <c:pt idx="0">
                  <c:v>2013</c:v>
                </c:pt>
              </c:strCache>
            </c:strRef>
          </c:tx>
          <c:spPr>
            <a:solidFill>
              <a:srgbClr val="625D73"/>
            </a:solidFill>
            <a:ln w="12700" cap="flat">
              <a:noFill/>
              <a:miter lim="400000"/>
            </a:ln>
            <a:effectLst/>
          </c:spPr>
          <c:invertIfNegative val="0"/>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inEnd"/>
            <c:showLegendKey val="0"/>
            <c:showVal val="0"/>
            <c:showCatName val="0"/>
            <c:showSerName val="0"/>
            <c:showPercent val="0"/>
            <c:showBubbleSize val="0"/>
            <c:showLeaderLines val="0"/>
          </c:dLbls>
          <c:cat>
            <c:strRef>
              <c:f>Sheet1!$A$2:$A$3</c:f>
              <c:strCache>
                <c:ptCount val="2"/>
                <c:pt idx="0">
                  <c:v>Region 1</c:v>
                </c:pt>
                <c:pt idx="1">
                  <c:v/>
                </c:pt>
              </c:strCache>
            </c:strRef>
          </c:cat>
          <c:val>
            <c:numRef>
              <c:f>Sheet1!$L$2:$L$3</c:f>
              <c:numCache>
                <c:ptCount val="1"/>
                <c:pt idx="0">
                  <c:v>9.330000</c:v>
                </c:pt>
              </c:numCache>
            </c:numRef>
          </c:val>
        </c:ser>
        <c:gapWidth val="40"/>
        <c:overlap val="-10"/>
        <c:axId val="3"/>
        <c:axId val="4"/>
      </c:barChart>
      <c:catAx>
        <c:axId val="0"/>
        <c:scaling>
          <c:orientation val="minMax"/>
        </c:scaling>
        <c:delete val="0"/>
        <c:axPos val="b"/>
        <c:numFmt formatCode="General" sourceLinked="1"/>
        <c:majorTickMark val="none"/>
        <c:minorTickMark val="none"/>
        <c:tickLblPos val="low"/>
        <c:spPr>
          <a:ln w="6350" cap="flat">
            <a:solidFill>
              <a:srgbClr val="A7A7A7"/>
            </a:solidFill>
            <a:prstDash val="solid"/>
            <a:miter lim="400000"/>
          </a:ln>
        </c:spPr>
        <c:txPr>
          <a:bodyPr rot="0"/>
          <a:lstStyle/>
          <a:p>
            <a:pPr lvl="0">
              <a:defRPr b="0" i="0" strike="noStrike" sz="1000" u="none">
                <a:solidFill>
                  <a:srgbClr val="444444"/>
                </a:solidFill>
                <a:effectLst/>
                <a:latin typeface="Baskerville"/>
              </a:defRPr>
            </a:pPr>
          </a:p>
        </c:txPr>
        <c:crossAx val="1"/>
        <c:crosses val="autoZero"/>
        <c:auto val="1"/>
        <c:lblAlgn val="ctr"/>
        <c:noMultiLvlLbl val="1"/>
      </c:catAx>
      <c:valAx>
        <c:axId val="1"/>
        <c:scaling>
          <c:orientation val="minMax"/>
        </c:scaling>
        <c:delete val="0"/>
        <c:axPos val="l"/>
        <c:majorGridlines>
          <c:spPr>
            <a:ln w="12700" cap="flat">
              <a:solidFill>
                <a:srgbClr val="A7A7A7"/>
              </a:solidFill>
              <a:custDash>
                <a:ds d="200000" sp="200000"/>
              </a:custDash>
              <a:miter lim="400000"/>
            </a:ln>
          </c:spPr>
        </c:majorGridlines>
        <c:numFmt formatCode="0.###" sourceLinked="0"/>
        <c:majorTickMark val="none"/>
        <c:minorTickMark val="none"/>
        <c:tickLblPos val="nextTo"/>
        <c:spPr>
          <a:ln w="6350" cap="flat">
            <a:noFill/>
            <a:prstDash val="solid"/>
            <a:miter lim="400000"/>
          </a:ln>
        </c:spPr>
        <c:txPr>
          <a:bodyPr rot="0"/>
          <a:lstStyle/>
          <a:p>
            <a:pPr lvl="0">
              <a:defRPr b="0" i="0" strike="noStrike" sz="1000" u="none">
                <a:solidFill>
                  <a:srgbClr val="444444"/>
                </a:solidFill>
                <a:effectLst/>
                <a:latin typeface="Baskerville"/>
              </a:defRPr>
            </a:pPr>
          </a:p>
        </c:txPr>
        <c:crossAx val="0"/>
        <c:crosses val="autoZero"/>
        <c:crossBetween val="between"/>
        <c:majorUnit val="25"/>
        <c:minorUnit val="12.5"/>
      </c:valAx>
      <c:catAx>
        <c:axId val="3"/>
        <c:scaling>
          <c:orientation val="minMax"/>
        </c:scaling>
        <c:delete val="0"/>
        <c:axPos val="b"/>
        <c:majorTickMark val="out"/>
        <c:minorTickMark val="none"/>
        <c:tickLblPos val="none"/>
        <c:spPr>
          <a:ln w="6350" cap="flat">
            <a:noFill/>
            <a:prstDash val="solid"/>
            <a:miter lim="400000"/>
          </a:ln>
        </c:spPr>
        <c:txPr>
          <a:bodyPr rot="0"/>
          <a:lstStyle/>
          <a:p>
            <a:pPr lvl="0"/>
          </a:p>
        </c:txPr>
        <c:crossAx val="4"/>
        <c:crosses val="autoZero"/>
        <c:auto val="1"/>
        <c:lblAlgn val="ctr"/>
        <c:noMultiLvlLbl val="1"/>
      </c:catAx>
      <c:valAx>
        <c:axId val="4"/>
        <c:scaling>
          <c:orientation val="minMax"/>
        </c:scaling>
        <c:delete val="0"/>
        <c:axPos val="r"/>
        <c:numFmt formatCode="0.###" sourceLinked="0"/>
        <c:majorTickMark val="none"/>
        <c:minorTickMark val="none"/>
        <c:tickLblPos val="nextTo"/>
        <c:spPr>
          <a:ln w="6350" cap="flat">
            <a:solidFill>
              <a:srgbClr val="A7A7A7"/>
            </a:solidFill>
            <a:prstDash val="solid"/>
            <a:miter lim="400000"/>
          </a:ln>
        </c:spPr>
        <c:txPr>
          <a:bodyPr rot="0"/>
          <a:lstStyle/>
          <a:p>
            <a:pPr lvl="0">
              <a:defRPr b="0" i="0" strike="noStrike" sz="1000" u="none">
                <a:solidFill>
                  <a:srgbClr val="444444"/>
                </a:solidFill>
                <a:effectLst/>
                <a:latin typeface="Baskerville"/>
              </a:defRPr>
            </a:pPr>
          </a:p>
        </c:txPr>
        <c:crossAx val="3"/>
        <c:crosses val="max"/>
        <c:crossBetween val="between"/>
        <c:majorUnit val="2.75"/>
        <c:minorUnit val="1.375"/>
      </c:valAx>
      <c:spPr>
        <a:noFill/>
        <a:ln w="6350" cap="flat">
          <a:solidFill>
            <a:srgbClr val="A7A7A7"/>
          </a:solidFill>
          <a:prstDash val="solid"/>
          <a:miter lim="400000"/>
        </a:ln>
        <a:effectLst/>
      </c:spPr>
    </c:plotArea>
    <c:legend>
      <c:legendPos val="b"/>
      <c:layout>
        <c:manualLayout>
          <c:xMode val="edge"/>
          <c:yMode val="edge"/>
          <c:x val="0.0576475"/>
          <c:y val="0.917677"/>
          <c:w val="0.925897"/>
          <c:h val="0.0948233"/>
        </c:manualLayout>
      </c:layout>
      <c:overlay val="1"/>
      <c:spPr>
        <a:noFill/>
        <a:ln w="12700" cap="flat">
          <a:noFill/>
          <a:miter lim="400000"/>
        </a:ln>
        <a:effectLst/>
      </c:spPr>
      <c:txPr>
        <a:bodyPr/>
        <a:lstStyle/>
        <a:p>
          <a:pPr lvl="0">
            <a:defRPr b="0" i="0" strike="noStrike" sz="1000" u="none">
              <a:solidFill>
                <a:srgbClr val="444444"/>
              </a:solidFill>
              <a:effectLst/>
              <a:latin typeface="Baskerville"/>
            </a:defRPr>
          </a:pPr>
        </a:p>
      </c:txPr>
    </c:legend>
    <c:plotVisOnly val="1"/>
    <c:dispBlanksAs val="gap"/>
  </c:chart>
  <c:spPr>
    <a:noFill/>
    <a:ln>
      <a:noFill/>
    </a:ln>
    <a:effec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defRPr b="0" i="0" strike="noStrike" sz="1200" u="sng">
                <a:solidFill>
                  <a:srgbClr val="444444"/>
                </a:solidFill>
                <a:effectLst/>
                <a:latin typeface="Baskerville SemiBold"/>
              </a:defRPr>
            </a:pPr>
            <a:r>
              <a:rPr b="0" i="0" strike="noStrike" sz="1200" u="sng">
                <a:solidFill>
                  <a:srgbClr val="444444"/>
                </a:solidFill>
                <a:effectLst/>
                <a:latin typeface="Baskerville SemiBold"/>
              </a:rPr>
              <a:t>Appendix 2 ; The spending on health care policy as a percentage of GDP</a:t>
            </a:r>
          </a:p>
        </c:rich>
      </c:tx>
      <c:layout>
        <c:manualLayout>
          <c:xMode val="edge"/>
          <c:yMode val="edge"/>
          <c:x val="0.0922171"/>
          <c:y val="0.005"/>
          <c:w val="0.914109"/>
          <c:h val="0.118184"/>
        </c:manualLayout>
      </c:layout>
      <c:overlay val="1"/>
      <c:spPr>
        <a:noFill/>
        <a:effectLst/>
      </c:spPr>
    </c:title>
    <c:autoTitleDeleted val="1"/>
    <c:plotArea>
      <c:layout>
        <c:manualLayout>
          <c:layoutTarget val="inner"/>
          <c:xMode val="edge"/>
          <c:yMode val="edge"/>
          <c:x val="0.15411"/>
          <c:y val="0.118184"/>
          <c:w val="0.8218"/>
          <c:h val="0.704605"/>
        </c:manualLayout>
      </c:layout>
      <c:lineChart>
        <c:grouping val="standard"/>
        <c:varyColors val="0"/>
        <c:ser>
          <c:idx val="0"/>
          <c:order val="0"/>
          <c:tx>
            <c:strRef>
              <c:f>Sheet1!$A$2</c:f>
              <c:strCache>
                <c:pt idx="0">
                  <c:v>the change in spending compare to GDP</c:v>
                </c:pt>
              </c:strCache>
            </c:strRef>
          </c:tx>
          <c:spPr>
            <a:solidFill>
              <a:srgbClr val="FFFFFF"/>
            </a:solidFill>
            <a:ln w="50800" cap="flat">
              <a:solidFill>
                <a:srgbClr val="4C7196"/>
              </a:solidFill>
              <a:prstDash val="solid"/>
              <a:miter lim="400000"/>
            </a:ln>
            <a:effectLst/>
          </c:spPr>
          <c:marker>
            <c:symbol val="circle"/>
            <c:size val="2"/>
            <c:spPr>
              <a:solidFill>
                <a:srgbClr val="FFFFFF"/>
              </a:solidFill>
              <a:ln w="50800" cap="flat">
                <a:solidFill>
                  <a:srgbClr val="4C7196"/>
                </a:solidFill>
                <a:prstDash val="solid"/>
                <a:miter lim="400000"/>
              </a:ln>
              <a:effectLst/>
            </c:spPr>
          </c:marker>
          <c:dLbls>
            <c:numFmt formatCode="#,##0" sourceLinked="0"/>
            <c:txPr>
              <a:bodyPr/>
              <a:lstStyle/>
              <a:p>
                <a:pPr lvl="0">
                  <a:defRPr b="0" i="0" strike="noStrike" sz="1200" u="none">
                    <a:solidFill>
                      <a:srgbClr val="FFFFFF"/>
                    </a:solidFill>
                    <a:effectLst/>
                    <a:latin typeface="Baskerville SemiBold"/>
                  </a:defRPr>
                </a:pPr>
                <a:r>
                  <a:rPr b="0" i="0" strike="noStrike" sz="1200" u="none">
                    <a:solidFill>
                      <a:srgbClr val="FFFFFF"/>
                    </a:solidFill>
                    <a:effectLst/>
                    <a:latin typeface="Baskerville SemiBold"/>
                  </a:rPr>
                  <a:t/>
                </a:r>
              </a:p>
            </c:txPr>
            <c:dLblPos val="t"/>
            <c:showLegendKey val="0"/>
            <c:showVal val="0"/>
            <c:showCatName val="0"/>
            <c:showSerName val="0"/>
            <c:showPercent val="0"/>
            <c:showBubbleSize val="0"/>
            <c:showLeaderLines val="0"/>
          </c:dLbls>
          <c:cat>
            <c:strRef>
              <c:f>Sheet1!$B$1:$E$1</c:f>
              <c:strCache>
                <c:ptCount val="4"/>
                <c:pt idx="0">
                  <c:v>2006</c:v>
                </c:pt>
                <c:pt idx="1">
                  <c:v>2008</c:v>
                </c:pt>
                <c:pt idx="2">
                  <c:v>2010</c:v>
                </c:pt>
                <c:pt idx="3">
                  <c:v>2012</c:v>
                </c:pt>
              </c:strCache>
            </c:strRef>
          </c:cat>
          <c:val>
            <c:numRef>
              <c:f>Sheet1!$B$2:$E$2</c:f>
              <c:numCache>
                <c:ptCount val="4"/>
                <c:pt idx="0">
                  <c:v>6.000000</c:v>
                </c:pt>
                <c:pt idx="1">
                  <c:v>5.500000</c:v>
                </c:pt>
                <c:pt idx="2">
                  <c:v>6.400000</c:v>
                </c:pt>
                <c:pt idx="3">
                  <c:v>6.000000</c:v>
                </c:pt>
              </c:numCache>
            </c:numRef>
          </c:val>
          <c:smooth val="0"/>
        </c:ser>
        <c:marker val="1"/>
        <c:axId val="0"/>
        <c:axId val="1"/>
      </c:lineChart>
      <c:catAx>
        <c:axId val="0"/>
        <c:scaling>
          <c:orientation val="minMax"/>
        </c:scaling>
        <c:delete val="0"/>
        <c:axPos val="b"/>
        <c:numFmt formatCode="General" sourceLinked="1"/>
        <c:majorTickMark val="none"/>
        <c:minorTickMark val="none"/>
        <c:tickLblPos val="low"/>
        <c:spPr>
          <a:ln w="12700" cap="flat">
            <a:solidFill>
              <a:srgbClr val="000000"/>
            </a:solidFill>
            <a:prstDash val="solid"/>
            <a:miter lim="400000"/>
          </a:ln>
        </c:spPr>
        <c:txPr>
          <a:bodyPr rot="0"/>
          <a:lstStyle/>
          <a:p>
            <a:pPr lvl="0">
              <a:defRPr b="0" i="0" strike="noStrike" sz="1000" u="none">
                <a:solidFill>
                  <a:srgbClr val="444444"/>
                </a:solidFill>
                <a:effectLst/>
                <a:latin typeface="Baskerville"/>
              </a:defRPr>
            </a:pPr>
          </a:p>
        </c:txPr>
        <c:crossAx val="1"/>
        <c:crosses val="autoZero"/>
        <c:auto val="1"/>
        <c:lblAlgn val="ctr"/>
        <c:noMultiLvlLbl val="1"/>
      </c:catAx>
      <c:valAx>
        <c:axId val="1"/>
        <c:scaling>
          <c:orientation val="minMax"/>
        </c:scaling>
        <c:delete val="0"/>
        <c:axPos val="l"/>
        <c:majorGridlines>
          <c:spPr>
            <a:ln w="12700" cap="flat">
              <a:solidFill>
                <a:srgbClr val="A7A7A7"/>
              </a:solidFill>
              <a:custDash>
                <a:ds d="200000" sp="200000"/>
              </a:custDash>
              <a:miter lim="400000"/>
            </a:ln>
          </c:spPr>
        </c:majorGridlines>
        <c:numFmt formatCode="0.#" sourceLinked="0"/>
        <c:majorTickMark val="none"/>
        <c:minorTickMark val="none"/>
        <c:tickLblPos val="nextTo"/>
        <c:spPr>
          <a:ln w="12700" cap="flat">
            <a:noFill/>
            <a:prstDash val="solid"/>
            <a:miter lim="400000"/>
          </a:ln>
        </c:spPr>
        <c:txPr>
          <a:bodyPr rot="0"/>
          <a:lstStyle/>
          <a:p>
            <a:pPr lvl="0">
              <a:defRPr b="0" i="0" strike="noStrike" sz="1000" u="none">
                <a:solidFill>
                  <a:srgbClr val="444444"/>
                </a:solidFill>
                <a:effectLst/>
                <a:latin typeface="Baskerville"/>
              </a:defRPr>
            </a:pPr>
          </a:p>
        </c:txPr>
        <c:crossAx val="0"/>
        <c:crosses val="autoZero"/>
        <c:crossBetween val="midCat"/>
        <c:majorUnit val="0.25"/>
        <c:minorUnit val="0.125"/>
      </c:valAx>
      <c:spPr>
        <a:noFill/>
        <a:ln w="12700" cap="flat">
          <a:noFill/>
          <a:miter lim="400000"/>
        </a:ln>
        <a:effectLst/>
      </c:spPr>
    </c:plotArea>
    <c:legend>
      <c:legendPos val="b"/>
      <c:layout>
        <c:manualLayout>
          <c:xMode val="edge"/>
          <c:yMode val="edge"/>
          <c:x val="0.005"/>
          <c:y val="0.966666"/>
          <c:w val="0.886389"/>
          <c:h val="0.0458339"/>
        </c:manualLayout>
      </c:layout>
      <c:overlay val="1"/>
      <c:spPr>
        <a:noFill/>
        <a:ln w="12700" cap="flat">
          <a:noFill/>
          <a:miter lim="400000"/>
        </a:ln>
        <a:effectLst/>
      </c:spPr>
      <c:txPr>
        <a:bodyPr/>
        <a:lstStyle/>
        <a:p>
          <a:pPr lvl="0">
            <a:defRPr b="0" i="0" strike="noStrike" sz="1000" u="none">
              <a:solidFill>
                <a:srgbClr val="444444"/>
              </a:solidFill>
              <a:effectLst/>
              <a:latin typeface="Baskerville"/>
            </a:defRPr>
          </a:pPr>
        </a:p>
      </c:txPr>
    </c:legend>
    <c:plotVisOnly val="1"/>
    <c:dispBlanksAs val="gap"/>
  </c:chart>
  <c:spPr>
    <a:noFill/>
    <a:ln>
      <a:noFill/>
    </a:ln>
    <a:effectLst/>
  </c:spPr>
  <c:externalData r:id="rId1">
    <c:autoUpdate val="0"/>
  </c:externalData>
</c:chartSpace>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