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EFA" w:rsidRPr="00BF1D5C" w:rsidRDefault="00BF1D5C" w:rsidP="00BF1D5C">
      <w:pPr>
        <w:jc w:val="center"/>
      </w:pPr>
      <w:r w:rsidRPr="00BF1D5C">
        <w:t>Assignment 3 solution</w:t>
      </w:r>
    </w:p>
    <w:p w:rsidR="00291305" w:rsidRPr="00BF1D5C" w:rsidRDefault="00291305">
      <w:r w:rsidRPr="00BF1D5C">
        <w:t>Chapter 11</w:t>
      </w:r>
    </w:p>
    <w:p w:rsidR="00291305" w:rsidRPr="00BF1D5C" w:rsidRDefault="00291305" w:rsidP="00291305">
      <w:pPr>
        <w:pStyle w:val="BodyTextIndent"/>
        <w:numPr>
          <w:ilvl w:val="0"/>
          <w:numId w:val="1"/>
        </w:numPr>
        <w:tabs>
          <w:tab w:val="clear" w:pos="800"/>
        </w:tabs>
        <w:rPr>
          <w:rFonts w:asciiTheme="minorHAnsi" w:hAnsiTheme="minorHAnsi"/>
          <w:sz w:val="22"/>
          <w:szCs w:val="22"/>
        </w:rPr>
      </w:pPr>
      <w:r w:rsidRPr="00BF1D5C">
        <w:rPr>
          <w:rFonts w:asciiTheme="minorHAnsi" w:hAnsiTheme="minorHAnsi"/>
          <w:sz w:val="22"/>
          <w:szCs w:val="22"/>
        </w:rPr>
        <w:t xml:space="preserve">The correlation coefficient between stock returns for two non-overlapping periods should be zero.  If not, one could use returns from one period to predict returns in later periods and make abnormal profits. </w:t>
      </w:r>
    </w:p>
    <w:p w:rsidR="00291305" w:rsidRPr="00BF1D5C" w:rsidRDefault="00291305" w:rsidP="00291305">
      <w:pPr>
        <w:pStyle w:val="BodyTextIndent2"/>
        <w:rPr>
          <w:rFonts w:eastAsia="Calibri" w:cs="Times New Roman"/>
        </w:rPr>
      </w:pPr>
      <w:r w:rsidRPr="00BF1D5C">
        <w:rPr>
          <w:rFonts w:eastAsia="Calibri" w:cs="Times New Roman"/>
        </w:rPr>
        <w:t>5.</w:t>
      </w:r>
      <w:r w:rsidRPr="00BF1D5C">
        <w:rPr>
          <w:rFonts w:eastAsia="Calibri" w:cs="Times New Roman"/>
        </w:rPr>
        <w:tab/>
        <w:t>No, markets can be efficient even if some investors earn returns above the market average.  Consider the Lucky Event issue:  Ignoring transaction costs, about 50% of professional investors, by definition, will “beat” the market in any given year.  The probability of beating it three years in a row, though small, is not insignificant. Beating the market in the past does not predict future success as three years of returns make up too small a sample on which to base correlation let alone causation.</w:t>
      </w:r>
    </w:p>
    <w:p w:rsidR="00291305" w:rsidRPr="00BF1D5C" w:rsidRDefault="00291305" w:rsidP="00291305">
      <w:pPr>
        <w:pStyle w:val="BodyTextIndent2"/>
        <w:rPr>
          <w:rFonts w:eastAsia="Calibri" w:cs="Times New Roman"/>
        </w:rPr>
      </w:pPr>
      <w:r w:rsidRPr="00BF1D5C">
        <w:rPr>
          <w:rFonts w:eastAsia="Calibri" w:cs="Times New Roman"/>
        </w:rPr>
        <w:t>9.</w:t>
      </w:r>
      <w:r w:rsidRPr="00BF1D5C">
        <w:rPr>
          <w:rFonts w:eastAsia="Calibri" w:cs="Times New Roman"/>
        </w:rPr>
        <w:tab/>
      </w:r>
      <w:proofErr w:type="gramStart"/>
      <w:r w:rsidRPr="00BF1D5C">
        <w:rPr>
          <w:rFonts w:eastAsia="Calibri" w:cs="Times New Roman"/>
        </w:rPr>
        <w:t>c</w:t>
      </w:r>
      <w:proofErr w:type="gramEnd"/>
      <w:r w:rsidRPr="00BF1D5C">
        <w:rPr>
          <w:rFonts w:eastAsia="Calibri" w:cs="Times New Roman"/>
        </w:rPr>
        <w:t>.</w:t>
      </w:r>
      <w:r w:rsidRPr="00BF1D5C">
        <w:rPr>
          <w:rFonts w:eastAsia="Calibri" w:cs="Times New Roman"/>
        </w:rPr>
        <w:tab/>
        <w:t>This is a predictable pattern in returns which should not occur if the weak-form EMH is valid.</w:t>
      </w:r>
    </w:p>
    <w:p w:rsidR="00291305" w:rsidRPr="00BF1D5C" w:rsidRDefault="00291305" w:rsidP="00291305">
      <w:pPr>
        <w:pStyle w:val="BodyTextIndent2"/>
        <w:rPr>
          <w:rFonts w:eastAsia="Calibri" w:cs="Times New Roman"/>
        </w:rPr>
      </w:pPr>
      <w:r w:rsidRPr="00BF1D5C">
        <w:rPr>
          <w:rFonts w:eastAsia="Calibri" w:cs="Times New Roman"/>
        </w:rPr>
        <w:t>11.</w:t>
      </w:r>
      <w:r w:rsidRPr="00BF1D5C">
        <w:rPr>
          <w:rFonts w:eastAsia="Calibri" w:cs="Times New Roman"/>
        </w:rPr>
        <w:tab/>
      </w:r>
      <w:proofErr w:type="gramStart"/>
      <w:r w:rsidRPr="00BF1D5C">
        <w:rPr>
          <w:rFonts w:eastAsia="Calibri" w:cs="Times New Roman"/>
        </w:rPr>
        <w:t>c</w:t>
      </w:r>
      <w:proofErr w:type="gramEnd"/>
      <w:r w:rsidRPr="00BF1D5C">
        <w:rPr>
          <w:rFonts w:eastAsia="Calibri" w:cs="Times New Roman"/>
        </w:rPr>
        <w:t>.</w:t>
      </w:r>
      <w:r w:rsidRPr="00BF1D5C">
        <w:rPr>
          <w:rFonts w:eastAsia="Calibri" w:cs="Times New Roman"/>
        </w:rPr>
        <w:tab/>
        <w:t>This is a classic filter rule which should not produce superior returns in an efficient market.</w:t>
      </w:r>
    </w:p>
    <w:p w:rsidR="00291305" w:rsidRPr="00BF1D5C" w:rsidRDefault="00291305" w:rsidP="00291305">
      <w:pPr>
        <w:pStyle w:val="BodyTextIndent2"/>
        <w:rPr>
          <w:rFonts w:eastAsia="Calibri" w:cs="Times New Roman"/>
        </w:rPr>
      </w:pPr>
      <w:r w:rsidRPr="00BF1D5C">
        <w:rPr>
          <w:rFonts w:eastAsia="Calibri" w:cs="Times New Roman"/>
        </w:rPr>
        <w:t>12.</w:t>
      </w:r>
      <w:r w:rsidRPr="00BF1D5C">
        <w:rPr>
          <w:rFonts w:eastAsia="Calibri" w:cs="Times New Roman"/>
        </w:rPr>
        <w:tab/>
      </w:r>
      <w:proofErr w:type="gramStart"/>
      <w:r w:rsidRPr="00BF1D5C">
        <w:rPr>
          <w:rFonts w:eastAsia="Calibri" w:cs="Times New Roman"/>
        </w:rPr>
        <w:t>b</w:t>
      </w:r>
      <w:proofErr w:type="gramEnd"/>
      <w:r w:rsidRPr="00BF1D5C">
        <w:rPr>
          <w:rFonts w:eastAsia="Calibri" w:cs="Times New Roman"/>
        </w:rPr>
        <w:t>.</w:t>
      </w:r>
      <w:r w:rsidRPr="00BF1D5C">
        <w:rPr>
          <w:rFonts w:eastAsia="Calibri" w:cs="Times New Roman"/>
        </w:rPr>
        <w:tab/>
        <w:t>This is the definition of an efficient market.</w:t>
      </w:r>
    </w:p>
    <w:p w:rsidR="00291305" w:rsidRPr="00BF1D5C" w:rsidRDefault="00291305" w:rsidP="00291305">
      <w:pPr>
        <w:pStyle w:val="Footer"/>
        <w:tabs>
          <w:tab w:val="clear" w:pos="4320"/>
          <w:tab w:val="clear" w:pos="8640"/>
        </w:tabs>
        <w:spacing w:line="240" w:lineRule="auto"/>
        <w:rPr>
          <w:rFonts w:asciiTheme="minorHAnsi" w:hAnsiTheme="minorHAnsi"/>
          <w:sz w:val="22"/>
          <w:szCs w:val="22"/>
        </w:rPr>
      </w:pPr>
    </w:p>
    <w:p w:rsidR="00291305" w:rsidRPr="00BF1D5C" w:rsidRDefault="00291305" w:rsidP="00BF1D5C">
      <w:pPr>
        <w:tabs>
          <w:tab w:val="left" w:pos="360"/>
        </w:tabs>
        <w:spacing w:line="240" w:lineRule="auto"/>
        <w:ind w:left="360" w:right="90"/>
        <w:rPr>
          <w:rFonts w:eastAsia="Calibri" w:cs="Times New Roman"/>
        </w:rPr>
      </w:pPr>
      <w:r w:rsidRPr="00BF1D5C">
        <w:rPr>
          <w:rFonts w:eastAsia="Calibri" w:cs="Times New Roman"/>
        </w:rPr>
        <w:t>17.</w:t>
      </w:r>
      <w:r w:rsidRPr="00BF1D5C">
        <w:rPr>
          <w:rFonts w:eastAsia="Calibri" w:cs="Times New Roman"/>
        </w:rPr>
        <w:tab/>
        <w:t>a.</w:t>
      </w:r>
      <w:r w:rsidRPr="00BF1D5C">
        <w:rPr>
          <w:rFonts w:eastAsia="Calibri" w:cs="Times New Roman"/>
        </w:rPr>
        <w:tab/>
        <w:t>Consistent.  Based on pure luck, half of all managers should beat the market in any year.</w:t>
      </w:r>
    </w:p>
    <w:p w:rsidR="00291305" w:rsidRPr="00BF1D5C" w:rsidRDefault="00291305" w:rsidP="00291305">
      <w:pPr>
        <w:spacing w:line="240" w:lineRule="auto"/>
        <w:rPr>
          <w:rFonts w:eastAsia="Calibri" w:cs="Times New Roman"/>
        </w:rPr>
      </w:pPr>
    </w:p>
    <w:p w:rsidR="00291305" w:rsidRPr="00BF1D5C" w:rsidRDefault="00291305" w:rsidP="00291305">
      <w:pPr>
        <w:spacing w:line="240" w:lineRule="auto"/>
        <w:ind w:left="1080" w:hanging="540"/>
        <w:rPr>
          <w:rFonts w:eastAsia="Calibri" w:cs="Times New Roman"/>
        </w:rPr>
      </w:pPr>
      <w:r w:rsidRPr="00BF1D5C">
        <w:rPr>
          <w:rFonts w:eastAsia="Calibri" w:cs="Times New Roman"/>
        </w:rPr>
        <w:t>b.</w:t>
      </w:r>
      <w:r w:rsidRPr="00BF1D5C">
        <w:rPr>
          <w:rFonts w:eastAsia="Calibri" w:cs="Times New Roman"/>
        </w:rPr>
        <w:tab/>
        <w:t>Inconsistent.  This would be the basis of an “easy money” rule: simply invest with last year's best managers.</w:t>
      </w:r>
    </w:p>
    <w:p w:rsidR="00291305" w:rsidRPr="00BF1D5C" w:rsidRDefault="00291305" w:rsidP="00291305">
      <w:pPr>
        <w:spacing w:line="240" w:lineRule="auto"/>
        <w:rPr>
          <w:rFonts w:eastAsia="Calibri" w:cs="Times New Roman"/>
        </w:rPr>
      </w:pPr>
    </w:p>
    <w:p w:rsidR="00291305" w:rsidRPr="00BF1D5C" w:rsidRDefault="00291305" w:rsidP="00291305">
      <w:pPr>
        <w:spacing w:line="240" w:lineRule="auto"/>
        <w:ind w:left="1080" w:hanging="540"/>
        <w:rPr>
          <w:rFonts w:eastAsia="Calibri" w:cs="Times New Roman"/>
        </w:rPr>
      </w:pPr>
      <w:r w:rsidRPr="00BF1D5C">
        <w:rPr>
          <w:rFonts w:eastAsia="Calibri" w:cs="Times New Roman"/>
        </w:rPr>
        <w:t>c.</w:t>
      </w:r>
      <w:r w:rsidRPr="00BF1D5C">
        <w:rPr>
          <w:rFonts w:eastAsia="Calibri" w:cs="Times New Roman"/>
        </w:rPr>
        <w:tab/>
        <w:t xml:space="preserve">Consistent.  In contrast to predictable returns, predictable </w:t>
      </w:r>
      <w:r w:rsidRPr="00BF1D5C">
        <w:rPr>
          <w:rFonts w:eastAsia="Calibri" w:cs="Times New Roman"/>
          <w:i/>
        </w:rPr>
        <w:t>volatility</w:t>
      </w:r>
      <w:r w:rsidRPr="00BF1D5C">
        <w:rPr>
          <w:rFonts w:eastAsia="Calibri" w:cs="Times New Roman"/>
        </w:rPr>
        <w:t xml:space="preserve"> does not convey a means to earn abnormal returns.</w:t>
      </w:r>
    </w:p>
    <w:p w:rsidR="00291305" w:rsidRPr="00BF1D5C" w:rsidRDefault="00291305" w:rsidP="00291305">
      <w:pPr>
        <w:spacing w:line="240" w:lineRule="auto"/>
        <w:rPr>
          <w:rFonts w:eastAsia="Calibri" w:cs="Times New Roman"/>
        </w:rPr>
      </w:pPr>
    </w:p>
    <w:p w:rsidR="00291305" w:rsidRPr="00BF1D5C" w:rsidRDefault="00291305" w:rsidP="00291305">
      <w:pPr>
        <w:spacing w:line="240" w:lineRule="auto"/>
        <w:ind w:left="1080" w:hanging="540"/>
        <w:rPr>
          <w:rFonts w:eastAsia="Calibri" w:cs="Times New Roman"/>
        </w:rPr>
      </w:pPr>
      <w:r w:rsidRPr="00BF1D5C">
        <w:rPr>
          <w:rFonts w:eastAsia="Calibri" w:cs="Times New Roman"/>
        </w:rPr>
        <w:t>d.</w:t>
      </w:r>
      <w:r w:rsidRPr="00BF1D5C">
        <w:rPr>
          <w:rFonts w:eastAsia="Calibri" w:cs="Times New Roman"/>
        </w:rPr>
        <w:tab/>
        <w:t>Inconsistent.  The abnormal performance ought to occur in January when earnings are announced.</w:t>
      </w:r>
    </w:p>
    <w:p w:rsidR="00291305" w:rsidRPr="00BF1D5C" w:rsidRDefault="00291305" w:rsidP="00291305">
      <w:pPr>
        <w:spacing w:line="240" w:lineRule="auto"/>
        <w:rPr>
          <w:rFonts w:eastAsia="Calibri" w:cs="Times New Roman"/>
        </w:rPr>
      </w:pPr>
    </w:p>
    <w:p w:rsidR="00291305" w:rsidRPr="00BF1D5C" w:rsidRDefault="00291305" w:rsidP="00291305">
      <w:pPr>
        <w:pStyle w:val="BodyTextIndent2"/>
        <w:ind w:right="180" w:firstLine="180"/>
      </w:pPr>
      <w:proofErr w:type="gramStart"/>
      <w:r w:rsidRPr="00BF1D5C">
        <w:rPr>
          <w:rFonts w:eastAsia="Calibri" w:cs="Times New Roman"/>
        </w:rPr>
        <w:t>e.</w:t>
      </w:r>
      <w:r w:rsidRPr="00BF1D5C">
        <w:t xml:space="preserve">  </w:t>
      </w:r>
      <w:r w:rsidRPr="00BF1D5C">
        <w:rPr>
          <w:rFonts w:eastAsia="Calibri" w:cs="Times New Roman"/>
        </w:rPr>
        <w:t>Inconsistent</w:t>
      </w:r>
      <w:proofErr w:type="gramEnd"/>
      <w:r w:rsidRPr="00BF1D5C">
        <w:rPr>
          <w:rFonts w:eastAsia="Calibri" w:cs="Times New Roman"/>
        </w:rPr>
        <w:t>.  Reversals offer a means to earn easy money: just buy last week’s losers.</w:t>
      </w:r>
    </w:p>
    <w:p w:rsidR="00291305" w:rsidRPr="00BF1D5C" w:rsidRDefault="00291305" w:rsidP="00291305">
      <w:pPr>
        <w:pStyle w:val="BodyTextIndent2"/>
        <w:ind w:right="180" w:firstLine="180"/>
      </w:pPr>
    </w:p>
    <w:p w:rsidR="00291305" w:rsidRPr="00BF1D5C" w:rsidRDefault="00291305" w:rsidP="00291305">
      <w:pPr>
        <w:spacing w:line="240" w:lineRule="auto"/>
        <w:ind w:left="540" w:hanging="540"/>
        <w:rPr>
          <w:rFonts w:eastAsia="Calibri" w:cs="Times New Roman"/>
        </w:rPr>
      </w:pPr>
      <w:r w:rsidRPr="00BF1D5C">
        <w:rPr>
          <w:rFonts w:eastAsia="Calibri" w:cs="Times New Roman"/>
        </w:rPr>
        <w:t>24.</w:t>
      </w:r>
      <w:r w:rsidRPr="00BF1D5C">
        <w:rPr>
          <w:rFonts w:eastAsia="Calibri" w:cs="Times New Roman"/>
        </w:rPr>
        <w:tab/>
        <w:t>Buy.  In your view, the firm is not as bad as everyone else believes it to be.  Therefore, you view the firm as undervalued by the market.  You are less pessimistic about the firm’s prospects than the beliefs built into the stock price.</w:t>
      </w:r>
    </w:p>
    <w:p w:rsidR="00291305" w:rsidRPr="00BF1D5C" w:rsidRDefault="00291305" w:rsidP="00291305">
      <w:pPr>
        <w:spacing w:line="240" w:lineRule="auto"/>
        <w:ind w:left="540" w:hanging="540"/>
        <w:rPr>
          <w:rFonts w:eastAsia="Calibri" w:cs="Times New Roman"/>
        </w:rPr>
      </w:pPr>
      <w:r w:rsidRPr="00BF1D5C">
        <w:rPr>
          <w:rFonts w:eastAsia="Calibri" w:cs="Times New Roman"/>
        </w:rPr>
        <w:t>28.</w:t>
      </w:r>
      <w:r w:rsidRPr="00BF1D5C">
        <w:rPr>
          <w:rFonts w:eastAsia="Calibri" w:cs="Times New Roman"/>
        </w:rPr>
        <w:tab/>
        <w:t xml:space="preserve">The negative abnormal returns (downward drift in CAR) just prior to stock purchases suggest that insiders deferred their purchases until </w:t>
      </w:r>
      <w:r w:rsidRPr="00BF1D5C">
        <w:rPr>
          <w:rFonts w:eastAsia="Calibri" w:cs="Times New Roman"/>
          <w:i/>
        </w:rPr>
        <w:t>after</w:t>
      </w:r>
      <w:r w:rsidRPr="00BF1D5C">
        <w:rPr>
          <w:rFonts w:eastAsia="Calibri" w:cs="Times New Roman"/>
        </w:rPr>
        <w:t xml:space="preserve"> bad news was released to the public.  This is evidence of valuable inside information.  The positive abnormal returns after purchase suggest insider purchases in anticipation of good news.  The analysis is symmetric for insider sales.</w:t>
      </w:r>
    </w:p>
    <w:p w:rsidR="00291305" w:rsidRPr="00BF1D5C" w:rsidRDefault="00291305" w:rsidP="00291305">
      <w:pPr>
        <w:pStyle w:val="BodyTextIndent2"/>
        <w:ind w:left="0" w:right="180"/>
      </w:pPr>
      <w:r w:rsidRPr="00BF1D5C">
        <w:t>Chapter 11 CFA</w:t>
      </w:r>
    </w:p>
    <w:p w:rsidR="00291305" w:rsidRPr="00BF1D5C" w:rsidRDefault="00291305" w:rsidP="00BF1D5C">
      <w:pPr>
        <w:tabs>
          <w:tab w:val="left" w:pos="540"/>
        </w:tabs>
        <w:spacing w:line="240" w:lineRule="auto"/>
        <w:ind w:hanging="720"/>
        <w:rPr>
          <w:rFonts w:eastAsia="Calibri" w:cs="Times New Roman"/>
        </w:rPr>
      </w:pPr>
      <w:r w:rsidRPr="00BF1D5C">
        <w:tab/>
      </w:r>
      <w:r w:rsidRPr="00BF1D5C">
        <w:rPr>
          <w:rFonts w:eastAsia="Calibri" w:cs="Times New Roman"/>
        </w:rPr>
        <w:t>1.</w:t>
      </w:r>
      <w:r w:rsidRPr="00BF1D5C">
        <w:rPr>
          <w:rFonts w:eastAsia="Calibri" w:cs="Times New Roman"/>
        </w:rPr>
        <w:tab/>
        <w:t>b.</w:t>
      </w:r>
      <w:r w:rsidRPr="00BF1D5C">
        <w:rPr>
          <w:rFonts w:eastAsia="Calibri" w:cs="Times New Roman"/>
        </w:rPr>
        <w:tab/>
        <w:t xml:space="preserve">Semi-strong form efficiency implies that market prices reflect all </w:t>
      </w:r>
      <w:r w:rsidRPr="00BF1D5C">
        <w:rPr>
          <w:rFonts w:eastAsia="Calibri" w:cs="Times New Roman"/>
          <w:i/>
        </w:rPr>
        <w:t>publicly available</w:t>
      </w:r>
      <w:r w:rsidRPr="00BF1D5C">
        <w:rPr>
          <w:rFonts w:eastAsia="Calibri" w:cs="Times New Roman"/>
        </w:rPr>
        <w:t xml:space="preserve"> information concerning past trading history as well as fundamental aspects of the firm.</w:t>
      </w:r>
    </w:p>
    <w:p w:rsidR="00291305" w:rsidRPr="00BF1D5C" w:rsidRDefault="00291305" w:rsidP="00BF1D5C">
      <w:pPr>
        <w:spacing w:line="220" w:lineRule="exact"/>
        <w:ind w:hanging="720"/>
        <w:rPr>
          <w:rFonts w:eastAsia="Calibri" w:cs="Times New Roman"/>
        </w:rPr>
      </w:pPr>
    </w:p>
    <w:p w:rsidR="00291305" w:rsidRPr="00BF1D5C" w:rsidRDefault="00291305" w:rsidP="00BF1D5C">
      <w:pPr>
        <w:spacing w:line="220" w:lineRule="exact"/>
        <w:ind w:hanging="720"/>
        <w:rPr>
          <w:rFonts w:eastAsia="Calibri" w:cs="Times New Roman"/>
        </w:rPr>
      </w:pPr>
    </w:p>
    <w:p w:rsidR="00291305" w:rsidRPr="00BF1D5C" w:rsidRDefault="00291305" w:rsidP="00BF1D5C">
      <w:pPr>
        <w:pStyle w:val="BodyTextIndent2"/>
        <w:ind w:left="0"/>
        <w:rPr>
          <w:rFonts w:eastAsia="Calibri" w:cs="Times New Roman"/>
        </w:rPr>
      </w:pPr>
      <w:r w:rsidRPr="00BF1D5C">
        <w:rPr>
          <w:rFonts w:eastAsia="Calibri" w:cs="Times New Roman"/>
        </w:rPr>
        <w:t>2.</w:t>
      </w:r>
      <w:r w:rsidRPr="00BF1D5C">
        <w:rPr>
          <w:rFonts w:eastAsia="Calibri" w:cs="Times New Roman"/>
        </w:rPr>
        <w:tab/>
      </w:r>
      <w:proofErr w:type="gramStart"/>
      <w:r w:rsidRPr="00BF1D5C">
        <w:rPr>
          <w:rFonts w:eastAsia="Calibri" w:cs="Times New Roman"/>
        </w:rPr>
        <w:t>a</w:t>
      </w:r>
      <w:proofErr w:type="gramEnd"/>
      <w:r w:rsidRPr="00BF1D5C">
        <w:rPr>
          <w:rFonts w:eastAsia="Calibri" w:cs="Times New Roman"/>
        </w:rPr>
        <w:t>.</w:t>
      </w:r>
      <w:r w:rsidRPr="00BF1D5C">
        <w:rPr>
          <w:rFonts w:eastAsia="Calibri" w:cs="Times New Roman"/>
        </w:rPr>
        <w:tab/>
        <w:t>The full price adjustment should occur just as the news about the dividend becomes publicly available.</w:t>
      </w:r>
    </w:p>
    <w:p w:rsidR="00291305" w:rsidRPr="00BF1D5C" w:rsidRDefault="00291305" w:rsidP="00BF1D5C">
      <w:pPr>
        <w:spacing w:line="220" w:lineRule="exact"/>
        <w:ind w:hanging="720"/>
        <w:rPr>
          <w:rFonts w:eastAsia="Calibri" w:cs="Times New Roman"/>
        </w:rPr>
      </w:pPr>
    </w:p>
    <w:p w:rsidR="00291305" w:rsidRPr="00BF1D5C" w:rsidRDefault="00291305" w:rsidP="00BF1D5C">
      <w:pPr>
        <w:spacing w:line="220" w:lineRule="exact"/>
        <w:ind w:hanging="720"/>
        <w:rPr>
          <w:rFonts w:eastAsia="Calibri" w:cs="Times New Roman"/>
        </w:rPr>
      </w:pPr>
    </w:p>
    <w:p w:rsidR="00291305" w:rsidRPr="00BF1D5C" w:rsidRDefault="00291305" w:rsidP="00BF1D5C">
      <w:pPr>
        <w:tabs>
          <w:tab w:val="left" w:pos="540"/>
        </w:tabs>
        <w:spacing w:line="240" w:lineRule="auto"/>
        <w:ind w:hanging="720"/>
        <w:rPr>
          <w:rFonts w:eastAsia="Calibri" w:cs="Times New Roman"/>
        </w:rPr>
      </w:pPr>
      <w:r w:rsidRPr="00BF1D5C">
        <w:tab/>
      </w:r>
      <w:r w:rsidRPr="00BF1D5C">
        <w:rPr>
          <w:rFonts w:eastAsia="Calibri" w:cs="Times New Roman"/>
        </w:rPr>
        <w:t>3.</w:t>
      </w:r>
      <w:r w:rsidRPr="00BF1D5C">
        <w:rPr>
          <w:rFonts w:eastAsia="Calibri" w:cs="Times New Roman"/>
        </w:rPr>
        <w:tab/>
      </w:r>
      <w:proofErr w:type="gramStart"/>
      <w:r w:rsidRPr="00BF1D5C">
        <w:rPr>
          <w:rFonts w:eastAsia="Calibri" w:cs="Times New Roman"/>
        </w:rPr>
        <w:t>d</w:t>
      </w:r>
      <w:proofErr w:type="gramEnd"/>
      <w:r w:rsidRPr="00BF1D5C">
        <w:rPr>
          <w:rFonts w:eastAsia="Calibri" w:cs="Times New Roman"/>
        </w:rPr>
        <w:t>.</w:t>
      </w:r>
      <w:r w:rsidRPr="00BF1D5C">
        <w:rPr>
          <w:rFonts w:eastAsia="Calibri" w:cs="Times New Roman"/>
        </w:rPr>
        <w:tab/>
        <w:t>If low P/E stocks tend to have positive abnormal returns, this would represent an unexploited profit opportunity that would provide evidence that investors are not using all available information to make profitable investments.</w:t>
      </w:r>
    </w:p>
    <w:p w:rsidR="00291305" w:rsidRPr="00BF1D5C" w:rsidRDefault="00291305" w:rsidP="00BF1D5C">
      <w:pPr>
        <w:tabs>
          <w:tab w:val="left" w:pos="540"/>
        </w:tabs>
        <w:spacing w:line="240" w:lineRule="auto"/>
        <w:ind w:hanging="720"/>
        <w:rPr>
          <w:rFonts w:eastAsia="Calibri" w:cs="Times New Roman"/>
        </w:rPr>
      </w:pPr>
      <w:r w:rsidRPr="00BF1D5C">
        <w:tab/>
      </w:r>
      <w:r w:rsidRPr="00BF1D5C">
        <w:rPr>
          <w:rFonts w:eastAsia="Calibri" w:cs="Times New Roman"/>
        </w:rPr>
        <w:t>4.</w:t>
      </w:r>
      <w:r w:rsidRPr="00BF1D5C">
        <w:rPr>
          <w:rFonts w:eastAsia="Calibri" w:cs="Times New Roman"/>
        </w:rPr>
        <w:tab/>
      </w:r>
      <w:proofErr w:type="gramStart"/>
      <w:r w:rsidRPr="00BF1D5C">
        <w:rPr>
          <w:rFonts w:eastAsia="Calibri" w:cs="Times New Roman"/>
        </w:rPr>
        <w:t>c</w:t>
      </w:r>
      <w:proofErr w:type="gramEnd"/>
      <w:r w:rsidRPr="00BF1D5C">
        <w:rPr>
          <w:rFonts w:eastAsia="Calibri" w:cs="Times New Roman"/>
        </w:rPr>
        <w:t>.</w:t>
      </w:r>
      <w:r w:rsidRPr="00BF1D5C">
        <w:rPr>
          <w:rFonts w:eastAsia="Calibri" w:cs="Times New Roman"/>
        </w:rPr>
        <w:tab/>
        <w:t>In an efficient market, no securities are consistently overpriced or underpriced.  While some securities will turn out after any investment period to have provided positive alphas (i.e., risk-adjusted abnormal returns) and some negative alphas, these past returns are not predictive of future returns.</w:t>
      </w:r>
    </w:p>
    <w:p w:rsidR="00291305" w:rsidRPr="00BF1D5C" w:rsidRDefault="00291305" w:rsidP="00BF1D5C">
      <w:pPr>
        <w:pStyle w:val="BodyTextIndent2"/>
        <w:ind w:left="0" w:firstLine="180"/>
      </w:pPr>
      <w:r w:rsidRPr="00BF1D5C">
        <w:rPr>
          <w:rFonts w:eastAsia="Calibri" w:cs="Times New Roman"/>
        </w:rPr>
        <w:t>5.</w:t>
      </w:r>
      <w:r w:rsidRPr="00BF1D5C">
        <w:rPr>
          <w:rFonts w:eastAsia="Calibri" w:cs="Times New Roman"/>
        </w:rPr>
        <w:tab/>
      </w:r>
      <w:proofErr w:type="gramStart"/>
      <w:r w:rsidRPr="00BF1D5C">
        <w:rPr>
          <w:rFonts w:eastAsia="Calibri" w:cs="Times New Roman"/>
        </w:rPr>
        <w:t>c</w:t>
      </w:r>
      <w:proofErr w:type="gramEnd"/>
      <w:r w:rsidRPr="00BF1D5C">
        <w:rPr>
          <w:rFonts w:eastAsia="Calibri" w:cs="Times New Roman"/>
        </w:rPr>
        <w:t>.</w:t>
      </w:r>
      <w:r w:rsidRPr="00BF1D5C">
        <w:rPr>
          <w:rFonts w:eastAsia="Calibri" w:cs="Times New Roman"/>
        </w:rPr>
        <w:tab/>
        <w:t>A random walk implies that stock price changes are unpredictable, using past price changes or any other data</w:t>
      </w:r>
    </w:p>
    <w:p w:rsidR="00291305" w:rsidRPr="00BF1D5C" w:rsidRDefault="00291305" w:rsidP="00BF1D5C">
      <w:pPr>
        <w:pStyle w:val="BodyTextIndent2"/>
        <w:ind w:left="0"/>
        <w:rPr>
          <w:rFonts w:eastAsia="Calibri" w:cs="Times New Roman"/>
        </w:rPr>
      </w:pPr>
      <w:r w:rsidRPr="00BF1D5C">
        <w:rPr>
          <w:rFonts w:eastAsia="Calibri" w:cs="Times New Roman"/>
        </w:rPr>
        <w:t>7.</w:t>
      </w:r>
      <w:r w:rsidRPr="00BF1D5C">
        <w:rPr>
          <w:rFonts w:eastAsia="Calibri" w:cs="Times New Roman"/>
        </w:rPr>
        <w:tab/>
      </w:r>
      <w:proofErr w:type="gramStart"/>
      <w:r w:rsidRPr="00BF1D5C">
        <w:rPr>
          <w:rFonts w:eastAsia="Calibri" w:cs="Times New Roman"/>
        </w:rPr>
        <w:t>a</w:t>
      </w:r>
      <w:proofErr w:type="gramEnd"/>
      <w:r w:rsidRPr="00BF1D5C">
        <w:rPr>
          <w:rFonts w:eastAsia="Calibri" w:cs="Times New Roman"/>
        </w:rPr>
        <w:t>.</w:t>
      </w:r>
    </w:p>
    <w:p w:rsidR="00291305" w:rsidRPr="00BF1D5C" w:rsidRDefault="004C11D2" w:rsidP="00291305">
      <w:pPr>
        <w:pStyle w:val="BodyTextIndent2"/>
        <w:rPr>
          <w:rFonts w:eastAsia="Calibri" w:cs="Times New Roman"/>
        </w:rPr>
      </w:pPr>
      <w:r w:rsidRPr="00BF1D5C">
        <w:rPr>
          <w:rFonts w:eastAsia="Calibri" w:cs="Times New Roman"/>
        </w:rPr>
        <w:t>Chapter 20</w:t>
      </w:r>
    </w:p>
    <w:p w:rsidR="004C11D2" w:rsidRPr="00BF1D5C" w:rsidRDefault="004C11D2" w:rsidP="004C11D2">
      <w:pPr>
        <w:tabs>
          <w:tab w:val="left" w:pos="0"/>
        </w:tabs>
        <w:spacing w:line="240" w:lineRule="auto"/>
        <w:ind w:left="540" w:hanging="540"/>
      </w:pPr>
      <w:r w:rsidRPr="00BF1D5C">
        <w:lastRenderedPageBreak/>
        <w:t>2.</w:t>
      </w:r>
      <w:r w:rsidRPr="00BF1D5C">
        <w:tab/>
        <w:t xml:space="preserve">Buying a put option on an existing portfolio provides </w:t>
      </w:r>
      <w:r w:rsidRPr="00BF1D5C">
        <w:rPr>
          <w:i/>
        </w:rPr>
        <w:t>portfolio insurance,</w:t>
      </w:r>
      <w:r w:rsidRPr="00BF1D5C">
        <w:t xml:space="preserve"> which is protection against a decline in the value of the portfolio.  In the event of a decline in value, the minimum value of the put-plus-stock strategy is the exercise price of the put.  As with any insurance purchased to protect the value of an asset, the tradeoff an investor faces is the cost of the put versus the protection against a decline in value.  The cost of the protection is the cost of acquiring the protective put, which reduces the profit that results should the portfolio increase in value.</w:t>
      </w:r>
    </w:p>
    <w:p w:rsidR="004C11D2" w:rsidRPr="00BF1D5C" w:rsidRDefault="004C11D2" w:rsidP="004C11D2">
      <w:pPr>
        <w:tabs>
          <w:tab w:val="left" w:pos="0"/>
        </w:tabs>
        <w:spacing w:line="240" w:lineRule="auto"/>
      </w:pPr>
      <w:r w:rsidRPr="00BF1D5C">
        <w:t>5.</w:t>
      </w:r>
    </w:p>
    <w:tbl>
      <w:tblPr>
        <w:tblW w:w="0" w:type="auto"/>
        <w:tblInd w:w="648" w:type="dxa"/>
        <w:tblLayout w:type="fixed"/>
        <w:tblLook w:val="01E0"/>
      </w:tblPr>
      <w:tblGrid>
        <w:gridCol w:w="630"/>
        <w:gridCol w:w="3150"/>
        <w:gridCol w:w="990"/>
        <w:gridCol w:w="1080"/>
        <w:gridCol w:w="990"/>
      </w:tblGrid>
      <w:tr w:rsidR="004C11D2" w:rsidRPr="00BF1D5C" w:rsidTr="009A2F4D">
        <w:tblPrEx>
          <w:tblCellMar>
            <w:top w:w="0" w:type="dxa"/>
            <w:bottom w:w="0" w:type="dxa"/>
          </w:tblCellMar>
        </w:tblPrEx>
        <w:tc>
          <w:tcPr>
            <w:tcW w:w="630" w:type="dxa"/>
          </w:tcPr>
          <w:p w:rsidR="004C11D2" w:rsidRPr="00BF1D5C" w:rsidRDefault="004C11D2" w:rsidP="009A2F4D">
            <w:pPr>
              <w:tabs>
                <w:tab w:val="left" w:pos="0"/>
              </w:tabs>
              <w:spacing w:line="260" w:lineRule="exact"/>
            </w:pPr>
          </w:p>
        </w:tc>
        <w:tc>
          <w:tcPr>
            <w:tcW w:w="3150" w:type="dxa"/>
          </w:tcPr>
          <w:p w:rsidR="004C11D2" w:rsidRPr="00BF1D5C" w:rsidRDefault="004C11D2" w:rsidP="009A2F4D">
            <w:pPr>
              <w:tabs>
                <w:tab w:val="left" w:pos="0"/>
              </w:tabs>
              <w:spacing w:line="260" w:lineRule="exact"/>
            </w:pPr>
          </w:p>
        </w:tc>
        <w:tc>
          <w:tcPr>
            <w:tcW w:w="990" w:type="dxa"/>
            <w:tcBorders>
              <w:bottom w:val="single" w:sz="4" w:space="0" w:color="auto"/>
            </w:tcBorders>
          </w:tcPr>
          <w:p w:rsidR="004C11D2" w:rsidRPr="00BF1D5C" w:rsidRDefault="004C11D2" w:rsidP="009A2F4D">
            <w:pPr>
              <w:tabs>
                <w:tab w:val="left" w:pos="0"/>
              </w:tabs>
              <w:spacing w:line="260" w:lineRule="exact"/>
              <w:jc w:val="center"/>
            </w:pPr>
            <w:r w:rsidRPr="00BF1D5C">
              <w:t>Cost</w:t>
            </w:r>
          </w:p>
        </w:tc>
        <w:tc>
          <w:tcPr>
            <w:tcW w:w="1080" w:type="dxa"/>
            <w:tcBorders>
              <w:bottom w:val="single" w:sz="4" w:space="0" w:color="auto"/>
            </w:tcBorders>
          </w:tcPr>
          <w:p w:rsidR="004C11D2" w:rsidRPr="00BF1D5C" w:rsidRDefault="004C11D2" w:rsidP="009A2F4D">
            <w:pPr>
              <w:tabs>
                <w:tab w:val="left" w:pos="0"/>
              </w:tabs>
              <w:spacing w:line="260" w:lineRule="exact"/>
              <w:jc w:val="center"/>
            </w:pPr>
            <w:r w:rsidRPr="00BF1D5C">
              <w:t>Payoff</w:t>
            </w:r>
          </w:p>
        </w:tc>
        <w:tc>
          <w:tcPr>
            <w:tcW w:w="990" w:type="dxa"/>
            <w:tcBorders>
              <w:bottom w:val="single" w:sz="4" w:space="0" w:color="auto"/>
            </w:tcBorders>
          </w:tcPr>
          <w:p w:rsidR="004C11D2" w:rsidRPr="00BF1D5C" w:rsidRDefault="004C11D2" w:rsidP="009A2F4D">
            <w:pPr>
              <w:tabs>
                <w:tab w:val="left" w:pos="0"/>
              </w:tabs>
              <w:spacing w:line="260" w:lineRule="exact"/>
              <w:jc w:val="center"/>
            </w:pPr>
            <w:r w:rsidRPr="00BF1D5C">
              <w:t>Profit</w:t>
            </w:r>
          </w:p>
        </w:tc>
      </w:tr>
      <w:tr w:rsidR="004C11D2" w:rsidRPr="00BF1D5C" w:rsidTr="009A2F4D">
        <w:tblPrEx>
          <w:tblCellMar>
            <w:top w:w="0" w:type="dxa"/>
            <w:bottom w:w="0" w:type="dxa"/>
          </w:tblCellMar>
        </w:tblPrEx>
        <w:trPr>
          <w:trHeight w:hRule="exact" w:val="280"/>
        </w:trPr>
        <w:tc>
          <w:tcPr>
            <w:tcW w:w="630" w:type="dxa"/>
            <w:vAlign w:val="bottom"/>
          </w:tcPr>
          <w:p w:rsidR="004C11D2" w:rsidRPr="00BF1D5C" w:rsidRDefault="004C11D2" w:rsidP="009A2F4D">
            <w:pPr>
              <w:tabs>
                <w:tab w:val="left" w:pos="0"/>
              </w:tabs>
              <w:spacing w:line="240" w:lineRule="auto"/>
            </w:pPr>
            <w:r w:rsidRPr="00BF1D5C">
              <w:t>a.</w:t>
            </w:r>
          </w:p>
        </w:tc>
        <w:tc>
          <w:tcPr>
            <w:tcW w:w="3150" w:type="dxa"/>
            <w:vAlign w:val="bottom"/>
          </w:tcPr>
          <w:p w:rsidR="004C11D2" w:rsidRPr="00BF1D5C" w:rsidRDefault="004C11D2" w:rsidP="009A2F4D">
            <w:pPr>
              <w:tabs>
                <w:tab w:val="left" w:pos="0"/>
              </w:tabs>
              <w:spacing w:line="240" w:lineRule="auto"/>
            </w:pPr>
            <w:r w:rsidRPr="00BF1D5C">
              <w:t>Call option, X = $120.00 $100.00¤$$100.00¤¤$$$100.00====$100.00==$100.00¤ ¤¤$100.000            ¤$$$1$$$100.00</w:t>
            </w:r>
          </w:p>
        </w:tc>
        <w:tc>
          <w:tcPr>
            <w:tcW w:w="990"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$8.63</w:t>
            </w:r>
          </w:p>
        </w:tc>
        <w:tc>
          <w:tcPr>
            <w:tcW w:w="1080"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$5.00</w:t>
            </w:r>
          </w:p>
        </w:tc>
        <w:tc>
          <w:tcPr>
            <w:tcW w:w="990"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-$3.63</w:t>
            </w:r>
          </w:p>
        </w:tc>
      </w:tr>
      <w:tr w:rsidR="004C11D2" w:rsidRPr="00BF1D5C" w:rsidTr="009A2F4D">
        <w:tblPrEx>
          <w:tblCellMar>
            <w:top w:w="0" w:type="dxa"/>
            <w:bottom w:w="0" w:type="dxa"/>
          </w:tblCellMar>
        </w:tblPrEx>
        <w:tc>
          <w:tcPr>
            <w:tcW w:w="630" w:type="dxa"/>
            <w:vAlign w:val="bottom"/>
          </w:tcPr>
          <w:p w:rsidR="004C11D2" w:rsidRPr="00BF1D5C" w:rsidRDefault="004C11D2" w:rsidP="009A2F4D">
            <w:pPr>
              <w:tabs>
                <w:tab w:val="left" w:pos="0"/>
              </w:tabs>
              <w:spacing w:line="240" w:lineRule="auto"/>
            </w:pPr>
            <w:r w:rsidRPr="00BF1D5C">
              <w:t>b.</w:t>
            </w:r>
          </w:p>
        </w:tc>
        <w:tc>
          <w:tcPr>
            <w:tcW w:w="3150" w:type="dxa"/>
            <w:vAlign w:val="bottom"/>
          </w:tcPr>
          <w:p w:rsidR="004C11D2" w:rsidRPr="00BF1D5C" w:rsidRDefault="004C11D2" w:rsidP="009A2F4D">
            <w:pPr>
              <w:tabs>
                <w:tab w:val="left" w:pos="0"/>
              </w:tabs>
              <w:spacing w:line="240" w:lineRule="auto"/>
            </w:pPr>
            <w:r w:rsidRPr="00BF1D5C">
              <w:t>Put option, X = $120.00</w:t>
            </w:r>
          </w:p>
        </w:tc>
        <w:tc>
          <w:tcPr>
            <w:tcW w:w="990" w:type="dxa"/>
            <w:vAlign w:val="bottom"/>
          </w:tcPr>
          <w:p w:rsidR="004C11D2" w:rsidRPr="00BF1D5C" w:rsidRDefault="004C11D2" w:rsidP="009A2F4D">
            <w:pPr>
              <w:tabs>
                <w:tab w:val="left" w:pos="0"/>
              </w:tabs>
              <w:spacing w:line="240" w:lineRule="auto"/>
              <w:jc w:val="center"/>
            </w:pPr>
            <w:r w:rsidRPr="00BF1D5C">
              <w:t>$1.18</w:t>
            </w:r>
          </w:p>
        </w:tc>
        <w:tc>
          <w:tcPr>
            <w:tcW w:w="1080" w:type="dxa"/>
            <w:vAlign w:val="bottom"/>
          </w:tcPr>
          <w:p w:rsidR="004C11D2" w:rsidRPr="00BF1D5C" w:rsidRDefault="004C11D2" w:rsidP="009A2F4D">
            <w:pPr>
              <w:tabs>
                <w:tab w:val="left" w:pos="0"/>
              </w:tabs>
              <w:spacing w:line="240" w:lineRule="auto"/>
              <w:jc w:val="center"/>
            </w:pPr>
            <w:r w:rsidRPr="00BF1D5C">
              <w:t>$0.00</w:t>
            </w:r>
          </w:p>
        </w:tc>
        <w:tc>
          <w:tcPr>
            <w:tcW w:w="990" w:type="dxa"/>
            <w:vAlign w:val="bottom"/>
          </w:tcPr>
          <w:p w:rsidR="004C11D2" w:rsidRPr="00BF1D5C" w:rsidRDefault="004C11D2" w:rsidP="009A2F4D">
            <w:pPr>
              <w:tabs>
                <w:tab w:val="left" w:pos="0"/>
              </w:tabs>
              <w:spacing w:line="240" w:lineRule="auto"/>
              <w:jc w:val="center"/>
            </w:pPr>
            <w:r w:rsidRPr="00BF1D5C">
              <w:t>-$1.18</w:t>
            </w:r>
          </w:p>
        </w:tc>
      </w:tr>
      <w:tr w:rsidR="004C11D2" w:rsidRPr="00BF1D5C" w:rsidTr="009A2F4D">
        <w:tblPrEx>
          <w:tblCellMar>
            <w:top w:w="0" w:type="dxa"/>
            <w:bottom w:w="0" w:type="dxa"/>
          </w:tblCellMar>
        </w:tblPrEx>
        <w:tc>
          <w:tcPr>
            <w:tcW w:w="630" w:type="dxa"/>
            <w:vAlign w:val="bottom"/>
          </w:tcPr>
          <w:p w:rsidR="004C11D2" w:rsidRPr="00BF1D5C" w:rsidRDefault="004C11D2" w:rsidP="009A2F4D">
            <w:pPr>
              <w:tabs>
                <w:tab w:val="left" w:pos="0"/>
              </w:tabs>
              <w:spacing w:line="240" w:lineRule="auto"/>
            </w:pPr>
            <w:r w:rsidRPr="00BF1D5C">
              <w:t>c.</w:t>
            </w:r>
          </w:p>
        </w:tc>
        <w:tc>
          <w:tcPr>
            <w:tcW w:w="3150" w:type="dxa"/>
            <w:vAlign w:val="bottom"/>
          </w:tcPr>
          <w:p w:rsidR="004C11D2" w:rsidRPr="00BF1D5C" w:rsidRDefault="004C11D2" w:rsidP="009A2F4D">
            <w:pPr>
              <w:tabs>
                <w:tab w:val="left" w:pos="0"/>
              </w:tabs>
              <w:spacing w:line="240" w:lineRule="auto"/>
            </w:pPr>
            <w:r w:rsidRPr="00BF1D5C">
              <w:t>Call option, X = $125.00</w:t>
            </w:r>
          </w:p>
        </w:tc>
        <w:tc>
          <w:tcPr>
            <w:tcW w:w="990" w:type="dxa"/>
            <w:vAlign w:val="bottom"/>
          </w:tcPr>
          <w:p w:rsidR="004C11D2" w:rsidRPr="00BF1D5C" w:rsidRDefault="004C11D2" w:rsidP="009A2F4D">
            <w:pPr>
              <w:tabs>
                <w:tab w:val="left" w:pos="0"/>
              </w:tabs>
              <w:spacing w:line="240" w:lineRule="auto"/>
              <w:jc w:val="center"/>
            </w:pPr>
            <w:r w:rsidRPr="00BF1D5C">
              <w:t>$4.75</w:t>
            </w:r>
          </w:p>
        </w:tc>
        <w:tc>
          <w:tcPr>
            <w:tcW w:w="1080" w:type="dxa"/>
            <w:vAlign w:val="bottom"/>
          </w:tcPr>
          <w:p w:rsidR="004C11D2" w:rsidRPr="00BF1D5C" w:rsidRDefault="004C11D2" w:rsidP="009A2F4D">
            <w:pPr>
              <w:tabs>
                <w:tab w:val="left" w:pos="0"/>
              </w:tabs>
              <w:spacing w:line="240" w:lineRule="auto"/>
              <w:jc w:val="center"/>
            </w:pPr>
            <w:r w:rsidRPr="00BF1D5C">
              <w:t>$0.00</w:t>
            </w:r>
          </w:p>
        </w:tc>
        <w:tc>
          <w:tcPr>
            <w:tcW w:w="990" w:type="dxa"/>
            <w:vAlign w:val="bottom"/>
          </w:tcPr>
          <w:p w:rsidR="004C11D2" w:rsidRPr="00BF1D5C" w:rsidRDefault="004C11D2" w:rsidP="009A2F4D">
            <w:pPr>
              <w:tabs>
                <w:tab w:val="left" w:pos="0"/>
              </w:tabs>
              <w:spacing w:line="240" w:lineRule="auto"/>
              <w:jc w:val="center"/>
            </w:pPr>
            <w:r w:rsidRPr="00BF1D5C">
              <w:t>-$4.75</w:t>
            </w:r>
          </w:p>
        </w:tc>
      </w:tr>
      <w:tr w:rsidR="004C11D2" w:rsidRPr="00BF1D5C" w:rsidTr="009A2F4D">
        <w:tblPrEx>
          <w:tblCellMar>
            <w:top w:w="0" w:type="dxa"/>
            <w:bottom w:w="0" w:type="dxa"/>
          </w:tblCellMar>
        </w:tblPrEx>
        <w:tc>
          <w:tcPr>
            <w:tcW w:w="630" w:type="dxa"/>
            <w:vAlign w:val="bottom"/>
          </w:tcPr>
          <w:p w:rsidR="004C11D2" w:rsidRPr="00BF1D5C" w:rsidRDefault="004C11D2" w:rsidP="009A2F4D">
            <w:pPr>
              <w:tabs>
                <w:tab w:val="left" w:pos="0"/>
              </w:tabs>
              <w:spacing w:line="240" w:lineRule="auto"/>
            </w:pPr>
            <w:r w:rsidRPr="00BF1D5C">
              <w:t>d.</w:t>
            </w:r>
          </w:p>
        </w:tc>
        <w:tc>
          <w:tcPr>
            <w:tcW w:w="3150" w:type="dxa"/>
            <w:vAlign w:val="bottom"/>
          </w:tcPr>
          <w:p w:rsidR="004C11D2" w:rsidRPr="00BF1D5C" w:rsidRDefault="004C11D2" w:rsidP="009A2F4D">
            <w:pPr>
              <w:tabs>
                <w:tab w:val="left" w:pos="0"/>
              </w:tabs>
              <w:spacing w:line="240" w:lineRule="auto"/>
            </w:pPr>
            <w:r w:rsidRPr="00BF1D5C">
              <w:t>Put option, X = $125.00</w:t>
            </w:r>
          </w:p>
        </w:tc>
        <w:tc>
          <w:tcPr>
            <w:tcW w:w="990" w:type="dxa"/>
            <w:vAlign w:val="bottom"/>
          </w:tcPr>
          <w:p w:rsidR="004C11D2" w:rsidRPr="00BF1D5C" w:rsidRDefault="004C11D2" w:rsidP="009A2F4D">
            <w:pPr>
              <w:tabs>
                <w:tab w:val="left" w:pos="0"/>
              </w:tabs>
              <w:spacing w:line="240" w:lineRule="auto"/>
              <w:jc w:val="center"/>
            </w:pPr>
            <w:r w:rsidRPr="00BF1D5C">
              <w:t>$2.44</w:t>
            </w:r>
          </w:p>
        </w:tc>
        <w:tc>
          <w:tcPr>
            <w:tcW w:w="1080" w:type="dxa"/>
            <w:vAlign w:val="bottom"/>
          </w:tcPr>
          <w:p w:rsidR="004C11D2" w:rsidRPr="00BF1D5C" w:rsidRDefault="004C11D2" w:rsidP="009A2F4D">
            <w:pPr>
              <w:tabs>
                <w:tab w:val="left" w:pos="0"/>
              </w:tabs>
              <w:spacing w:line="240" w:lineRule="auto"/>
              <w:jc w:val="center"/>
            </w:pPr>
            <w:r w:rsidRPr="00BF1D5C">
              <w:t>$0.00</w:t>
            </w:r>
          </w:p>
        </w:tc>
        <w:tc>
          <w:tcPr>
            <w:tcW w:w="990" w:type="dxa"/>
            <w:vAlign w:val="bottom"/>
          </w:tcPr>
          <w:p w:rsidR="004C11D2" w:rsidRPr="00BF1D5C" w:rsidRDefault="004C11D2" w:rsidP="009A2F4D">
            <w:pPr>
              <w:tabs>
                <w:tab w:val="left" w:pos="0"/>
              </w:tabs>
              <w:spacing w:line="240" w:lineRule="auto"/>
              <w:jc w:val="center"/>
            </w:pPr>
            <w:r w:rsidRPr="00BF1D5C">
              <w:t>-$2.44</w:t>
            </w:r>
          </w:p>
        </w:tc>
      </w:tr>
      <w:tr w:rsidR="004C11D2" w:rsidRPr="00BF1D5C" w:rsidTr="009A2F4D">
        <w:tblPrEx>
          <w:tblCellMar>
            <w:top w:w="0" w:type="dxa"/>
            <w:bottom w:w="0" w:type="dxa"/>
          </w:tblCellMar>
        </w:tblPrEx>
        <w:tc>
          <w:tcPr>
            <w:tcW w:w="630" w:type="dxa"/>
            <w:vAlign w:val="bottom"/>
          </w:tcPr>
          <w:p w:rsidR="004C11D2" w:rsidRPr="00BF1D5C" w:rsidRDefault="004C11D2" w:rsidP="009A2F4D">
            <w:pPr>
              <w:tabs>
                <w:tab w:val="left" w:pos="0"/>
              </w:tabs>
              <w:spacing w:line="240" w:lineRule="auto"/>
            </w:pPr>
            <w:r w:rsidRPr="00BF1D5C">
              <w:t>e.</w:t>
            </w:r>
          </w:p>
        </w:tc>
        <w:tc>
          <w:tcPr>
            <w:tcW w:w="3150" w:type="dxa"/>
            <w:vAlign w:val="bottom"/>
          </w:tcPr>
          <w:p w:rsidR="004C11D2" w:rsidRPr="00BF1D5C" w:rsidRDefault="004C11D2" w:rsidP="009A2F4D">
            <w:pPr>
              <w:tabs>
                <w:tab w:val="left" w:pos="0"/>
              </w:tabs>
              <w:spacing w:line="240" w:lineRule="auto"/>
            </w:pPr>
            <w:r w:rsidRPr="00BF1D5C">
              <w:t>Call option, X = $130.00</w:t>
            </w:r>
          </w:p>
        </w:tc>
        <w:tc>
          <w:tcPr>
            <w:tcW w:w="990" w:type="dxa"/>
            <w:vAlign w:val="bottom"/>
          </w:tcPr>
          <w:p w:rsidR="004C11D2" w:rsidRPr="00BF1D5C" w:rsidRDefault="004C11D2" w:rsidP="009A2F4D">
            <w:pPr>
              <w:tabs>
                <w:tab w:val="left" w:pos="0"/>
              </w:tabs>
              <w:spacing w:line="240" w:lineRule="auto"/>
              <w:jc w:val="center"/>
            </w:pPr>
            <w:r w:rsidRPr="00BF1D5C">
              <w:t>$2.18</w:t>
            </w:r>
          </w:p>
        </w:tc>
        <w:tc>
          <w:tcPr>
            <w:tcW w:w="1080" w:type="dxa"/>
            <w:vAlign w:val="bottom"/>
          </w:tcPr>
          <w:p w:rsidR="004C11D2" w:rsidRPr="00BF1D5C" w:rsidRDefault="004C11D2" w:rsidP="009A2F4D">
            <w:pPr>
              <w:tabs>
                <w:tab w:val="left" w:pos="0"/>
              </w:tabs>
              <w:spacing w:line="240" w:lineRule="auto"/>
              <w:jc w:val="center"/>
            </w:pPr>
            <w:r w:rsidRPr="00BF1D5C">
              <w:t>$0.00</w:t>
            </w:r>
          </w:p>
        </w:tc>
        <w:tc>
          <w:tcPr>
            <w:tcW w:w="990" w:type="dxa"/>
            <w:vAlign w:val="bottom"/>
          </w:tcPr>
          <w:p w:rsidR="004C11D2" w:rsidRPr="00BF1D5C" w:rsidRDefault="004C11D2" w:rsidP="009A2F4D">
            <w:pPr>
              <w:tabs>
                <w:tab w:val="left" w:pos="0"/>
              </w:tabs>
              <w:spacing w:line="240" w:lineRule="auto"/>
              <w:jc w:val="center"/>
            </w:pPr>
            <w:r w:rsidRPr="00BF1D5C">
              <w:t>-$2.18</w:t>
            </w:r>
          </w:p>
        </w:tc>
      </w:tr>
      <w:tr w:rsidR="004C11D2" w:rsidRPr="00BF1D5C" w:rsidTr="009A2F4D">
        <w:tblPrEx>
          <w:tblCellMar>
            <w:top w:w="0" w:type="dxa"/>
            <w:bottom w:w="0" w:type="dxa"/>
          </w:tblCellMar>
        </w:tblPrEx>
        <w:tc>
          <w:tcPr>
            <w:tcW w:w="630" w:type="dxa"/>
            <w:vAlign w:val="bottom"/>
          </w:tcPr>
          <w:p w:rsidR="004C11D2" w:rsidRPr="00BF1D5C" w:rsidRDefault="004C11D2" w:rsidP="009A2F4D">
            <w:pPr>
              <w:tabs>
                <w:tab w:val="left" w:pos="0"/>
              </w:tabs>
              <w:spacing w:line="240" w:lineRule="auto"/>
            </w:pPr>
            <w:r w:rsidRPr="00BF1D5C">
              <w:t>f.</w:t>
            </w:r>
          </w:p>
        </w:tc>
        <w:tc>
          <w:tcPr>
            <w:tcW w:w="3150" w:type="dxa"/>
            <w:vAlign w:val="bottom"/>
          </w:tcPr>
          <w:p w:rsidR="004C11D2" w:rsidRPr="00BF1D5C" w:rsidRDefault="004C11D2" w:rsidP="009A2F4D">
            <w:pPr>
              <w:tabs>
                <w:tab w:val="left" w:pos="0"/>
              </w:tabs>
              <w:spacing w:line="240" w:lineRule="auto"/>
            </w:pPr>
            <w:r w:rsidRPr="00BF1D5C">
              <w:t>Put option, X = $130.00</w:t>
            </w:r>
          </w:p>
        </w:tc>
        <w:tc>
          <w:tcPr>
            <w:tcW w:w="990" w:type="dxa"/>
            <w:vAlign w:val="bottom"/>
          </w:tcPr>
          <w:p w:rsidR="004C11D2" w:rsidRPr="00BF1D5C" w:rsidRDefault="004C11D2" w:rsidP="009A2F4D">
            <w:pPr>
              <w:tabs>
                <w:tab w:val="left" w:pos="0"/>
              </w:tabs>
              <w:spacing w:line="240" w:lineRule="auto"/>
              <w:jc w:val="center"/>
            </w:pPr>
            <w:r w:rsidRPr="00BF1D5C">
              <w:t>$4.79</w:t>
            </w:r>
          </w:p>
        </w:tc>
        <w:tc>
          <w:tcPr>
            <w:tcW w:w="1080" w:type="dxa"/>
            <w:vAlign w:val="bottom"/>
          </w:tcPr>
          <w:p w:rsidR="004C11D2" w:rsidRPr="00BF1D5C" w:rsidRDefault="004C11D2" w:rsidP="009A2F4D">
            <w:pPr>
              <w:tabs>
                <w:tab w:val="left" w:pos="0"/>
              </w:tabs>
              <w:spacing w:line="240" w:lineRule="auto"/>
              <w:jc w:val="center"/>
            </w:pPr>
            <w:r w:rsidRPr="00BF1D5C">
              <w:t>$5.00</w:t>
            </w:r>
          </w:p>
        </w:tc>
        <w:tc>
          <w:tcPr>
            <w:tcW w:w="990" w:type="dxa"/>
            <w:vAlign w:val="bottom"/>
          </w:tcPr>
          <w:p w:rsidR="004C11D2" w:rsidRPr="00BF1D5C" w:rsidRDefault="004C11D2" w:rsidP="009A2F4D">
            <w:pPr>
              <w:tabs>
                <w:tab w:val="left" w:pos="0"/>
              </w:tabs>
              <w:spacing w:line="240" w:lineRule="auto"/>
              <w:jc w:val="center"/>
            </w:pPr>
            <w:r w:rsidRPr="00BF1D5C">
              <w:t xml:space="preserve"> $0.21</w:t>
            </w:r>
          </w:p>
        </w:tc>
      </w:tr>
    </w:tbl>
    <w:p w:rsidR="004C11D2" w:rsidRPr="00BF1D5C" w:rsidRDefault="004C11D2" w:rsidP="004C11D2">
      <w:pPr>
        <w:tabs>
          <w:tab w:val="left" w:pos="0"/>
        </w:tabs>
        <w:spacing w:line="240" w:lineRule="auto"/>
      </w:pPr>
    </w:p>
    <w:p w:rsidR="004C11D2" w:rsidRPr="00BF1D5C" w:rsidRDefault="004C11D2" w:rsidP="004C11D2">
      <w:pPr>
        <w:tabs>
          <w:tab w:val="left" w:pos="0"/>
        </w:tabs>
        <w:spacing w:line="240" w:lineRule="auto"/>
      </w:pPr>
    </w:p>
    <w:p w:rsidR="004C11D2" w:rsidRPr="00BF1D5C" w:rsidRDefault="004C11D2" w:rsidP="004C11D2">
      <w:pPr>
        <w:tabs>
          <w:tab w:val="left" w:pos="0"/>
        </w:tabs>
        <w:spacing w:after="120" w:line="240" w:lineRule="auto"/>
        <w:ind w:left="547" w:hanging="547"/>
      </w:pPr>
      <w:r w:rsidRPr="00BF1D5C">
        <w:t>6.</w:t>
      </w:r>
      <w:r w:rsidRPr="00BF1D5C">
        <w:tab/>
        <w:t>In terms of dollar returns, based on a $10,000 investment:</w:t>
      </w:r>
    </w:p>
    <w:tbl>
      <w:tblPr>
        <w:tblW w:w="0" w:type="auto"/>
        <w:tblInd w:w="558" w:type="dxa"/>
        <w:tblLayout w:type="fixed"/>
        <w:tblLook w:val="01E0"/>
      </w:tblPr>
      <w:tblGrid>
        <w:gridCol w:w="2880"/>
        <w:gridCol w:w="1008"/>
        <w:gridCol w:w="1008"/>
        <w:gridCol w:w="1008"/>
        <w:gridCol w:w="1008"/>
      </w:tblGrid>
      <w:tr w:rsidR="004C11D2" w:rsidRPr="00BF1D5C" w:rsidTr="009A2F4D">
        <w:tblPrEx>
          <w:tblCellMar>
            <w:top w:w="0" w:type="dxa"/>
            <w:bottom w:w="0" w:type="dxa"/>
          </w:tblCellMar>
        </w:tblPrEx>
        <w:tc>
          <w:tcPr>
            <w:tcW w:w="2880" w:type="dxa"/>
          </w:tcPr>
          <w:p w:rsidR="004C11D2" w:rsidRPr="00BF1D5C" w:rsidRDefault="004C11D2" w:rsidP="009A2F4D">
            <w:pPr>
              <w:tabs>
                <w:tab w:val="left" w:pos="0"/>
                <w:tab w:val="left" w:pos="440"/>
              </w:tabs>
              <w:spacing w:line="240" w:lineRule="auto"/>
            </w:pPr>
          </w:p>
        </w:tc>
        <w:tc>
          <w:tcPr>
            <w:tcW w:w="4032" w:type="dxa"/>
            <w:gridSpan w:val="4"/>
            <w:tcBorders>
              <w:bottom w:val="single" w:sz="4" w:space="0" w:color="auto"/>
            </w:tcBorders>
          </w:tcPr>
          <w:p w:rsidR="004C11D2" w:rsidRPr="00BF1D5C" w:rsidRDefault="004C11D2" w:rsidP="009A2F4D">
            <w:pPr>
              <w:tabs>
                <w:tab w:val="left" w:pos="0"/>
              </w:tabs>
              <w:spacing w:line="240" w:lineRule="auto"/>
              <w:jc w:val="center"/>
            </w:pPr>
            <w:r w:rsidRPr="00BF1D5C">
              <w:t>Price of Stock 6 Months from Now</w:t>
            </w:r>
          </w:p>
        </w:tc>
      </w:tr>
      <w:tr w:rsidR="004C11D2" w:rsidRPr="00BF1D5C" w:rsidTr="009A2F4D">
        <w:tblPrEx>
          <w:tblCellMar>
            <w:top w:w="0" w:type="dxa"/>
            <w:bottom w:w="0" w:type="dxa"/>
          </w:tblCellMar>
        </w:tblPrEx>
        <w:trPr>
          <w:trHeight w:hRule="exact" w:val="280"/>
        </w:trPr>
        <w:tc>
          <w:tcPr>
            <w:tcW w:w="2880" w:type="dxa"/>
            <w:tcBorders>
              <w:bottom w:val="single" w:sz="4" w:space="0" w:color="auto"/>
            </w:tcBorders>
            <w:vAlign w:val="bottom"/>
          </w:tcPr>
          <w:p w:rsidR="004C11D2" w:rsidRPr="00BF1D5C" w:rsidRDefault="004C11D2" w:rsidP="009A2F4D">
            <w:pPr>
              <w:tabs>
                <w:tab w:val="left" w:pos="0"/>
              </w:tabs>
              <w:spacing w:line="240" w:lineRule="auto"/>
            </w:pPr>
            <w:r w:rsidRPr="00BF1D5C">
              <w:t>Stock Price</w:t>
            </w:r>
          </w:p>
        </w:tc>
        <w:tc>
          <w:tcPr>
            <w:tcW w:w="1008"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$80</w:t>
            </w:r>
          </w:p>
        </w:tc>
        <w:tc>
          <w:tcPr>
            <w:tcW w:w="1008"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$100</w:t>
            </w:r>
          </w:p>
        </w:tc>
        <w:tc>
          <w:tcPr>
            <w:tcW w:w="1008"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$110</w:t>
            </w:r>
          </w:p>
        </w:tc>
        <w:tc>
          <w:tcPr>
            <w:tcW w:w="1008"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$120</w:t>
            </w:r>
          </w:p>
        </w:tc>
      </w:tr>
      <w:tr w:rsidR="004C11D2" w:rsidRPr="00BF1D5C" w:rsidTr="009A2F4D">
        <w:tblPrEx>
          <w:tblCellMar>
            <w:top w:w="0" w:type="dxa"/>
            <w:bottom w:w="0" w:type="dxa"/>
          </w:tblCellMar>
        </w:tblPrEx>
        <w:trPr>
          <w:trHeight w:hRule="exact" w:val="280"/>
        </w:trPr>
        <w:tc>
          <w:tcPr>
            <w:tcW w:w="2880" w:type="dxa"/>
            <w:tcBorders>
              <w:top w:val="single" w:sz="4" w:space="0" w:color="auto"/>
            </w:tcBorders>
            <w:vAlign w:val="bottom"/>
          </w:tcPr>
          <w:p w:rsidR="004C11D2" w:rsidRPr="00BF1D5C" w:rsidRDefault="004C11D2" w:rsidP="009A2F4D">
            <w:pPr>
              <w:tabs>
                <w:tab w:val="left" w:pos="0"/>
              </w:tabs>
              <w:spacing w:line="240" w:lineRule="auto"/>
            </w:pPr>
            <w:r w:rsidRPr="00BF1D5C">
              <w:t>All stocks (100 shares)</w:t>
            </w:r>
          </w:p>
        </w:tc>
        <w:tc>
          <w:tcPr>
            <w:tcW w:w="1008"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$8,000</w:t>
            </w:r>
          </w:p>
        </w:tc>
        <w:tc>
          <w:tcPr>
            <w:tcW w:w="1008"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$10,000</w:t>
            </w:r>
          </w:p>
        </w:tc>
        <w:tc>
          <w:tcPr>
            <w:tcW w:w="1008"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$11,000</w:t>
            </w:r>
          </w:p>
        </w:tc>
        <w:tc>
          <w:tcPr>
            <w:tcW w:w="1008"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$12,000</w:t>
            </w:r>
          </w:p>
        </w:tc>
      </w:tr>
      <w:tr w:rsidR="004C11D2" w:rsidRPr="00BF1D5C" w:rsidTr="009A2F4D">
        <w:tblPrEx>
          <w:tblCellMar>
            <w:top w:w="0" w:type="dxa"/>
            <w:bottom w:w="0" w:type="dxa"/>
          </w:tblCellMar>
        </w:tblPrEx>
        <w:tc>
          <w:tcPr>
            <w:tcW w:w="2880" w:type="dxa"/>
          </w:tcPr>
          <w:p w:rsidR="004C11D2" w:rsidRPr="00BF1D5C" w:rsidRDefault="004C11D2" w:rsidP="009A2F4D">
            <w:pPr>
              <w:tabs>
                <w:tab w:val="left" w:pos="0"/>
              </w:tabs>
              <w:spacing w:line="240" w:lineRule="auto"/>
            </w:pPr>
            <w:r w:rsidRPr="00BF1D5C">
              <w:t>All options (1,000 options)</w:t>
            </w:r>
          </w:p>
        </w:tc>
        <w:tc>
          <w:tcPr>
            <w:tcW w:w="1008" w:type="dxa"/>
          </w:tcPr>
          <w:p w:rsidR="004C11D2" w:rsidRPr="00BF1D5C" w:rsidRDefault="004C11D2" w:rsidP="009A2F4D">
            <w:pPr>
              <w:tabs>
                <w:tab w:val="left" w:pos="0"/>
              </w:tabs>
              <w:spacing w:line="240" w:lineRule="auto"/>
              <w:jc w:val="center"/>
            </w:pPr>
            <w:r w:rsidRPr="00BF1D5C">
              <w:t>$0</w:t>
            </w:r>
          </w:p>
        </w:tc>
        <w:tc>
          <w:tcPr>
            <w:tcW w:w="1008" w:type="dxa"/>
          </w:tcPr>
          <w:p w:rsidR="004C11D2" w:rsidRPr="00BF1D5C" w:rsidRDefault="004C11D2" w:rsidP="009A2F4D">
            <w:pPr>
              <w:tabs>
                <w:tab w:val="left" w:pos="0"/>
              </w:tabs>
              <w:spacing w:line="240" w:lineRule="auto"/>
              <w:jc w:val="center"/>
            </w:pPr>
            <w:r w:rsidRPr="00BF1D5C">
              <w:t>$0</w:t>
            </w:r>
          </w:p>
        </w:tc>
        <w:tc>
          <w:tcPr>
            <w:tcW w:w="1008" w:type="dxa"/>
          </w:tcPr>
          <w:p w:rsidR="004C11D2" w:rsidRPr="00BF1D5C" w:rsidRDefault="004C11D2" w:rsidP="009A2F4D">
            <w:pPr>
              <w:tabs>
                <w:tab w:val="left" w:pos="0"/>
              </w:tabs>
              <w:spacing w:line="240" w:lineRule="auto"/>
              <w:jc w:val="center"/>
            </w:pPr>
            <w:r w:rsidRPr="00BF1D5C">
              <w:t>$10,000</w:t>
            </w:r>
          </w:p>
        </w:tc>
        <w:tc>
          <w:tcPr>
            <w:tcW w:w="1008" w:type="dxa"/>
          </w:tcPr>
          <w:p w:rsidR="004C11D2" w:rsidRPr="00BF1D5C" w:rsidRDefault="004C11D2" w:rsidP="009A2F4D">
            <w:pPr>
              <w:tabs>
                <w:tab w:val="left" w:pos="0"/>
              </w:tabs>
              <w:spacing w:line="240" w:lineRule="auto"/>
              <w:jc w:val="center"/>
            </w:pPr>
            <w:r w:rsidRPr="00BF1D5C">
              <w:t>$20,000</w:t>
            </w:r>
          </w:p>
        </w:tc>
      </w:tr>
      <w:tr w:rsidR="004C11D2" w:rsidRPr="00BF1D5C" w:rsidTr="009A2F4D">
        <w:tblPrEx>
          <w:tblCellMar>
            <w:top w:w="0" w:type="dxa"/>
            <w:bottom w:w="0" w:type="dxa"/>
          </w:tblCellMar>
        </w:tblPrEx>
        <w:tc>
          <w:tcPr>
            <w:tcW w:w="2880" w:type="dxa"/>
          </w:tcPr>
          <w:p w:rsidR="004C11D2" w:rsidRPr="00BF1D5C" w:rsidRDefault="004C11D2" w:rsidP="009A2F4D">
            <w:pPr>
              <w:tabs>
                <w:tab w:val="left" w:pos="0"/>
              </w:tabs>
              <w:spacing w:line="240" w:lineRule="auto"/>
            </w:pPr>
            <w:r w:rsidRPr="00BF1D5C">
              <w:t>Bills + 100 options</w:t>
            </w:r>
          </w:p>
        </w:tc>
        <w:tc>
          <w:tcPr>
            <w:tcW w:w="1008" w:type="dxa"/>
          </w:tcPr>
          <w:p w:rsidR="004C11D2" w:rsidRPr="00BF1D5C" w:rsidRDefault="004C11D2" w:rsidP="009A2F4D">
            <w:pPr>
              <w:tabs>
                <w:tab w:val="left" w:pos="0"/>
              </w:tabs>
              <w:spacing w:line="240" w:lineRule="auto"/>
              <w:jc w:val="center"/>
            </w:pPr>
            <w:r w:rsidRPr="00BF1D5C">
              <w:t>$9,360</w:t>
            </w:r>
          </w:p>
        </w:tc>
        <w:tc>
          <w:tcPr>
            <w:tcW w:w="1008" w:type="dxa"/>
          </w:tcPr>
          <w:p w:rsidR="004C11D2" w:rsidRPr="00BF1D5C" w:rsidRDefault="004C11D2" w:rsidP="009A2F4D">
            <w:pPr>
              <w:tabs>
                <w:tab w:val="left" w:pos="0"/>
              </w:tabs>
              <w:spacing w:line="240" w:lineRule="auto"/>
              <w:jc w:val="center"/>
            </w:pPr>
            <w:r w:rsidRPr="00BF1D5C">
              <w:t>$9,360</w:t>
            </w:r>
          </w:p>
        </w:tc>
        <w:tc>
          <w:tcPr>
            <w:tcW w:w="1008" w:type="dxa"/>
          </w:tcPr>
          <w:p w:rsidR="004C11D2" w:rsidRPr="00BF1D5C" w:rsidRDefault="004C11D2" w:rsidP="009A2F4D">
            <w:pPr>
              <w:tabs>
                <w:tab w:val="left" w:pos="0"/>
              </w:tabs>
              <w:spacing w:line="240" w:lineRule="auto"/>
              <w:jc w:val="center"/>
            </w:pPr>
            <w:r w:rsidRPr="00BF1D5C">
              <w:t>$10,360</w:t>
            </w:r>
          </w:p>
        </w:tc>
        <w:tc>
          <w:tcPr>
            <w:tcW w:w="1008" w:type="dxa"/>
          </w:tcPr>
          <w:p w:rsidR="004C11D2" w:rsidRPr="00BF1D5C" w:rsidRDefault="004C11D2" w:rsidP="009A2F4D">
            <w:pPr>
              <w:tabs>
                <w:tab w:val="left" w:pos="0"/>
              </w:tabs>
              <w:spacing w:line="240" w:lineRule="auto"/>
              <w:jc w:val="center"/>
            </w:pPr>
            <w:r w:rsidRPr="00BF1D5C">
              <w:t>$11,360</w:t>
            </w:r>
          </w:p>
        </w:tc>
      </w:tr>
    </w:tbl>
    <w:p w:rsidR="004C11D2" w:rsidRPr="00BF1D5C" w:rsidRDefault="004C11D2" w:rsidP="004C11D2">
      <w:pPr>
        <w:tabs>
          <w:tab w:val="left" w:pos="0"/>
        </w:tabs>
        <w:spacing w:before="120" w:after="120" w:line="240" w:lineRule="auto"/>
        <w:ind w:left="547"/>
      </w:pPr>
      <w:r w:rsidRPr="00BF1D5C">
        <w:t>In terms of rate of return, based on a $10,000 investment:</w:t>
      </w:r>
    </w:p>
    <w:tbl>
      <w:tblPr>
        <w:tblW w:w="0" w:type="auto"/>
        <w:tblInd w:w="558" w:type="dxa"/>
        <w:tblLayout w:type="fixed"/>
        <w:tblLook w:val="01E0"/>
      </w:tblPr>
      <w:tblGrid>
        <w:gridCol w:w="2880"/>
        <w:gridCol w:w="1008"/>
        <w:gridCol w:w="1008"/>
        <w:gridCol w:w="1008"/>
        <w:gridCol w:w="1008"/>
      </w:tblGrid>
      <w:tr w:rsidR="004C11D2" w:rsidRPr="00BF1D5C" w:rsidTr="009A2F4D">
        <w:tblPrEx>
          <w:tblCellMar>
            <w:top w:w="0" w:type="dxa"/>
            <w:bottom w:w="0" w:type="dxa"/>
          </w:tblCellMar>
        </w:tblPrEx>
        <w:tc>
          <w:tcPr>
            <w:tcW w:w="2880" w:type="dxa"/>
          </w:tcPr>
          <w:p w:rsidR="004C11D2" w:rsidRPr="00BF1D5C" w:rsidRDefault="004C11D2" w:rsidP="009A2F4D">
            <w:pPr>
              <w:tabs>
                <w:tab w:val="left" w:pos="0"/>
              </w:tabs>
              <w:spacing w:line="240" w:lineRule="auto"/>
            </w:pPr>
          </w:p>
        </w:tc>
        <w:tc>
          <w:tcPr>
            <w:tcW w:w="4032" w:type="dxa"/>
            <w:gridSpan w:val="4"/>
            <w:tcBorders>
              <w:bottom w:val="single" w:sz="4" w:space="0" w:color="auto"/>
            </w:tcBorders>
          </w:tcPr>
          <w:p w:rsidR="004C11D2" w:rsidRPr="00BF1D5C" w:rsidRDefault="004C11D2" w:rsidP="009A2F4D">
            <w:pPr>
              <w:tabs>
                <w:tab w:val="left" w:pos="0"/>
              </w:tabs>
              <w:spacing w:line="240" w:lineRule="auto"/>
              <w:jc w:val="center"/>
            </w:pPr>
            <w:r w:rsidRPr="00BF1D5C">
              <w:t>Price of Stock 6 Months from Now</w:t>
            </w:r>
          </w:p>
        </w:tc>
      </w:tr>
      <w:tr w:rsidR="004C11D2" w:rsidRPr="00BF1D5C" w:rsidTr="009A2F4D">
        <w:tblPrEx>
          <w:tblCellMar>
            <w:top w:w="0" w:type="dxa"/>
            <w:bottom w:w="0" w:type="dxa"/>
          </w:tblCellMar>
        </w:tblPrEx>
        <w:trPr>
          <w:trHeight w:hRule="exact" w:val="280"/>
        </w:trPr>
        <w:tc>
          <w:tcPr>
            <w:tcW w:w="2880" w:type="dxa"/>
            <w:tcBorders>
              <w:bottom w:val="single" w:sz="4" w:space="0" w:color="auto"/>
            </w:tcBorders>
            <w:vAlign w:val="bottom"/>
          </w:tcPr>
          <w:p w:rsidR="004C11D2" w:rsidRPr="00BF1D5C" w:rsidRDefault="004C11D2" w:rsidP="009A2F4D">
            <w:pPr>
              <w:tabs>
                <w:tab w:val="left" w:pos="0"/>
              </w:tabs>
              <w:spacing w:line="240" w:lineRule="auto"/>
            </w:pPr>
            <w:r w:rsidRPr="00BF1D5C">
              <w:t>Stock Price</w:t>
            </w:r>
          </w:p>
        </w:tc>
        <w:tc>
          <w:tcPr>
            <w:tcW w:w="1008"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$80</w:t>
            </w:r>
          </w:p>
        </w:tc>
        <w:tc>
          <w:tcPr>
            <w:tcW w:w="1008"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$100</w:t>
            </w:r>
          </w:p>
        </w:tc>
        <w:tc>
          <w:tcPr>
            <w:tcW w:w="1008"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$110</w:t>
            </w:r>
          </w:p>
        </w:tc>
        <w:tc>
          <w:tcPr>
            <w:tcW w:w="1008"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$120</w:t>
            </w:r>
          </w:p>
        </w:tc>
      </w:tr>
      <w:tr w:rsidR="004C11D2" w:rsidRPr="00BF1D5C" w:rsidTr="009A2F4D">
        <w:tblPrEx>
          <w:tblCellMar>
            <w:top w:w="0" w:type="dxa"/>
            <w:bottom w:w="0" w:type="dxa"/>
          </w:tblCellMar>
        </w:tblPrEx>
        <w:trPr>
          <w:trHeight w:hRule="exact" w:val="280"/>
        </w:trPr>
        <w:tc>
          <w:tcPr>
            <w:tcW w:w="2880" w:type="dxa"/>
            <w:tcBorders>
              <w:top w:val="single" w:sz="4" w:space="0" w:color="auto"/>
            </w:tcBorders>
            <w:vAlign w:val="bottom"/>
          </w:tcPr>
          <w:p w:rsidR="004C11D2" w:rsidRPr="00BF1D5C" w:rsidRDefault="004C11D2" w:rsidP="009A2F4D">
            <w:pPr>
              <w:tabs>
                <w:tab w:val="left" w:pos="0"/>
              </w:tabs>
              <w:spacing w:line="240" w:lineRule="auto"/>
            </w:pPr>
            <w:r w:rsidRPr="00BF1D5C">
              <w:t>All stocks (100 shares)</w:t>
            </w:r>
          </w:p>
        </w:tc>
        <w:tc>
          <w:tcPr>
            <w:tcW w:w="1008"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-20%</w:t>
            </w:r>
          </w:p>
        </w:tc>
        <w:tc>
          <w:tcPr>
            <w:tcW w:w="1008"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0%</w:t>
            </w:r>
          </w:p>
        </w:tc>
        <w:tc>
          <w:tcPr>
            <w:tcW w:w="1008"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10%</w:t>
            </w:r>
          </w:p>
        </w:tc>
        <w:tc>
          <w:tcPr>
            <w:tcW w:w="1008" w:type="dxa"/>
            <w:tcBorders>
              <w:top w:val="single" w:sz="4" w:space="0" w:color="auto"/>
            </w:tcBorders>
            <w:vAlign w:val="bottom"/>
          </w:tcPr>
          <w:p w:rsidR="004C11D2" w:rsidRPr="00BF1D5C" w:rsidRDefault="004C11D2" w:rsidP="009A2F4D">
            <w:pPr>
              <w:tabs>
                <w:tab w:val="left" w:pos="0"/>
              </w:tabs>
              <w:spacing w:line="240" w:lineRule="auto"/>
              <w:jc w:val="center"/>
            </w:pPr>
            <w:r w:rsidRPr="00BF1D5C">
              <w:t>20%</w:t>
            </w:r>
          </w:p>
        </w:tc>
      </w:tr>
      <w:tr w:rsidR="004C11D2" w:rsidRPr="00BF1D5C" w:rsidTr="009A2F4D">
        <w:tblPrEx>
          <w:tblCellMar>
            <w:top w:w="0" w:type="dxa"/>
            <w:bottom w:w="0" w:type="dxa"/>
          </w:tblCellMar>
        </w:tblPrEx>
        <w:tc>
          <w:tcPr>
            <w:tcW w:w="2880" w:type="dxa"/>
          </w:tcPr>
          <w:p w:rsidR="004C11D2" w:rsidRPr="00BF1D5C" w:rsidRDefault="004C11D2" w:rsidP="009A2F4D">
            <w:pPr>
              <w:tabs>
                <w:tab w:val="left" w:pos="0"/>
              </w:tabs>
              <w:spacing w:line="240" w:lineRule="auto"/>
            </w:pPr>
            <w:r w:rsidRPr="00BF1D5C">
              <w:t>All options (1,000 options)</w:t>
            </w:r>
          </w:p>
        </w:tc>
        <w:tc>
          <w:tcPr>
            <w:tcW w:w="1008" w:type="dxa"/>
          </w:tcPr>
          <w:p w:rsidR="004C11D2" w:rsidRPr="00BF1D5C" w:rsidRDefault="004C11D2" w:rsidP="009A2F4D">
            <w:pPr>
              <w:tabs>
                <w:tab w:val="left" w:pos="0"/>
              </w:tabs>
              <w:spacing w:line="240" w:lineRule="auto"/>
              <w:jc w:val="center"/>
            </w:pPr>
            <w:r w:rsidRPr="00BF1D5C">
              <w:t>-100%</w:t>
            </w:r>
          </w:p>
        </w:tc>
        <w:tc>
          <w:tcPr>
            <w:tcW w:w="1008" w:type="dxa"/>
          </w:tcPr>
          <w:p w:rsidR="004C11D2" w:rsidRPr="00BF1D5C" w:rsidRDefault="004C11D2" w:rsidP="009A2F4D">
            <w:pPr>
              <w:tabs>
                <w:tab w:val="left" w:pos="0"/>
              </w:tabs>
              <w:spacing w:line="240" w:lineRule="auto"/>
              <w:jc w:val="center"/>
            </w:pPr>
            <w:r w:rsidRPr="00BF1D5C">
              <w:t>-100%</w:t>
            </w:r>
          </w:p>
        </w:tc>
        <w:tc>
          <w:tcPr>
            <w:tcW w:w="1008" w:type="dxa"/>
          </w:tcPr>
          <w:p w:rsidR="004C11D2" w:rsidRPr="00BF1D5C" w:rsidRDefault="004C11D2" w:rsidP="009A2F4D">
            <w:pPr>
              <w:tabs>
                <w:tab w:val="left" w:pos="0"/>
              </w:tabs>
              <w:spacing w:line="240" w:lineRule="auto"/>
              <w:jc w:val="center"/>
            </w:pPr>
            <w:r w:rsidRPr="00BF1D5C">
              <w:t>0%</w:t>
            </w:r>
          </w:p>
        </w:tc>
        <w:tc>
          <w:tcPr>
            <w:tcW w:w="1008" w:type="dxa"/>
          </w:tcPr>
          <w:p w:rsidR="004C11D2" w:rsidRPr="00BF1D5C" w:rsidRDefault="004C11D2" w:rsidP="009A2F4D">
            <w:pPr>
              <w:tabs>
                <w:tab w:val="left" w:pos="0"/>
              </w:tabs>
              <w:spacing w:line="240" w:lineRule="auto"/>
              <w:jc w:val="center"/>
            </w:pPr>
            <w:r w:rsidRPr="00BF1D5C">
              <w:t>100%</w:t>
            </w:r>
          </w:p>
        </w:tc>
      </w:tr>
      <w:tr w:rsidR="004C11D2" w:rsidRPr="00BF1D5C" w:rsidTr="009A2F4D">
        <w:tblPrEx>
          <w:tblCellMar>
            <w:top w:w="0" w:type="dxa"/>
            <w:bottom w:w="0" w:type="dxa"/>
          </w:tblCellMar>
        </w:tblPrEx>
        <w:tc>
          <w:tcPr>
            <w:tcW w:w="2880" w:type="dxa"/>
          </w:tcPr>
          <w:p w:rsidR="004C11D2" w:rsidRPr="00BF1D5C" w:rsidRDefault="004C11D2" w:rsidP="009A2F4D">
            <w:pPr>
              <w:tabs>
                <w:tab w:val="left" w:pos="0"/>
              </w:tabs>
              <w:spacing w:line="240" w:lineRule="auto"/>
            </w:pPr>
            <w:r w:rsidRPr="00BF1D5C">
              <w:t>Bills + 100 options</w:t>
            </w:r>
          </w:p>
        </w:tc>
        <w:tc>
          <w:tcPr>
            <w:tcW w:w="1008" w:type="dxa"/>
          </w:tcPr>
          <w:p w:rsidR="004C11D2" w:rsidRPr="00BF1D5C" w:rsidRDefault="004C11D2" w:rsidP="009A2F4D">
            <w:pPr>
              <w:tabs>
                <w:tab w:val="left" w:pos="0"/>
              </w:tabs>
              <w:spacing w:line="240" w:lineRule="auto"/>
              <w:jc w:val="center"/>
            </w:pPr>
            <w:r w:rsidRPr="00BF1D5C">
              <w:t>-6.4%</w:t>
            </w:r>
          </w:p>
        </w:tc>
        <w:tc>
          <w:tcPr>
            <w:tcW w:w="1008" w:type="dxa"/>
          </w:tcPr>
          <w:p w:rsidR="004C11D2" w:rsidRPr="00BF1D5C" w:rsidRDefault="004C11D2" w:rsidP="009A2F4D">
            <w:pPr>
              <w:tabs>
                <w:tab w:val="left" w:pos="0"/>
              </w:tabs>
              <w:spacing w:line="240" w:lineRule="auto"/>
              <w:jc w:val="center"/>
            </w:pPr>
            <w:r w:rsidRPr="00BF1D5C">
              <w:t>-6.4%</w:t>
            </w:r>
          </w:p>
        </w:tc>
        <w:tc>
          <w:tcPr>
            <w:tcW w:w="1008" w:type="dxa"/>
          </w:tcPr>
          <w:p w:rsidR="004C11D2" w:rsidRPr="00BF1D5C" w:rsidRDefault="004C11D2" w:rsidP="009A2F4D">
            <w:pPr>
              <w:tabs>
                <w:tab w:val="left" w:pos="0"/>
              </w:tabs>
              <w:spacing w:line="240" w:lineRule="auto"/>
              <w:jc w:val="center"/>
            </w:pPr>
            <w:r w:rsidRPr="00BF1D5C">
              <w:t>3.6%</w:t>
            </w:r>
          </w:p>
        </w:tc>
        <w:tc>
          <w:tcPr>
            <w:tcW w:w="1008" w:type="dxa"/>
          </w:tcPr>
          <w:p w:rsidR="004C11D2" w:rsidRPr="00BF1D5C" w:rsidRDefault="004C11D2" w:rsidP="009A2F4D">
            <w:pPr>
              <w:tabs>
                <w:tab w:val="left" w:pos="0"/>
              </w:tabs>
              <w:spacing w:line="240" w:lineRule="auto"/>
              <w:jc w:val="center"/>
            </w:pPr>
            <w:r w:rsidRPr="00BF1D5C">
              <w:t>13.6%</w:t>
            </w:r>
          </w:p>
        </w:tc>
      </w:tr>
    </w:tbl>
    <w:p w:rsidR="004C11D2" w:rsidRPr="00BF1D5C" w:rsidRDefault="004C11D2" w:rsidP="004C11D2">
      <w:pPr>
        <w:tabs>
          <w:tab w:val="left" w:pos="0"/>
        </w:tabs>
        <w:spacing w:line="240" w:lineRule="auto"/>
      </w:pPr>
    </w:p>
    <w:p w:rsidR="004C11D2" w:rsidRPr="00BF1D5C" w:rsidRDefault="004C11D2" w:rsidP="004C11D2">
      <w:pPr>
        <w:tabs>
          <w:tab w:val="left" w:pos="0"/>
          <w:tab w:val="left" w:pos="440"/>
        </w:tabs>
        <w:spacing w:line="240" w:lineRule="auto"/>
        <w:ind w:left="800" w:hanging="800"/>
      </w:pPr>
      <w:r w:rsidRPr="00BF1D5C">
        <w:br w:type="page"/>
      </w:r>
      <w:r w:rsidRPr="00BF1D5C">
        <w:lastRenderedPageBreak/>
        <w:tab/>
      </w:r>
      <w:r w:rsidRPr="00BF1D5C">
        <w:tab/>
      </w:r>
      <w:r w:rsidRPr="00BF1D5C">
        <w:object w:dxaOrig="6740" w:dyaOrig="3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75pt;height:186pt" o:ole="">
            <v:imagedata r:id="rId5" o:title=""/>
          </v:shape>
          <o:OLEObject Type="Embed" ProgID="Word.Picture.8" ShapeID="_x0000_i1025" DrawAspect="Content" ObjectID="_1446147096" r:id="rId6"/>
        </w:object>
      </w:r>
    </w:p>
    <w:p w:rsidR="004C11D2" w:rsidRPr="00BF1D5C" w:rsidRDefault="004C11D2" w:rsidP="004C11D2">
      <w:pPr>
        <w:tabs>
          <w:tab w:val="left" w:pos="0"/>
        </w:tabs>
        <w:spacing w:line="220" w:lineRule="exact"/>
      </w:pPr>
    </w:p>
    <w:p w:rsidR="004C11D2" w:rsidRPr="00BF1D5C" w:rsidRDefault="004C11D2" w:rsidP="004C11D2">
      <w:pPr>
        <w:tabs>
          <w:tab w:val="left" w:pos="0"/>
        </w:tabs>
        <w:spacing w:line="220" w:lineRule="exact"/>
      </w:pPr>
    </w:p>
    <w:p w:rsidR="004C11D2" w:rsidRPr="00BF1D5C" w:rsidRDefault="004C11D2" w:rsidP="004C11D2">
      <w:pPr>
        <w:tabs>
          <w:tab w:val="left" w:pos="0"/>
          <w:tab w:val="left" w:pos="540"/>
        </w:tabs>
        <w:spacing w:after="120" w:line="240" w:lineRule="auto"/>
        <w:ind w:left="1080" w:hanging="1080"/>
      </w:pPr>
      <w:r w:rsidRPr="00BF1D5C">
        <w:t>7.</w:t>
      </w:r>
      <w:r w:rsidRPr="00BF1D5C">
        <w:tab/>
      </w:r>
      <w:proofErr w:type="gramStart"/>
      <w:r w:rsidRPr="00BF1D5C">
        <w:t>a</w:t>
      </w:r>
      <w:proofErr w:type="gramEnd"/>
      <w:r w:rsidRPr="00BF1D5C">
        <w:t>.</w:t>
      </w:r>
      <w:r w:rsidRPr="00BF1D5C">
        <w:tab/>
        <w:t>From put-call parity:</w:t>
      </w:r>
    </w:p>
    <w:p w:rsidR="004C11D2" w:rsidRPr="00BF1D5C" w:rsidRDefault="004C11D2" w:rsidP="004C11D2">
      <w:pPr>
        <w:tabs>
          <w:tab w:val="left" w:pos="0"/>
        </w:tabs>
        <w:spacing w:line="240" w:lineRule="auto"/>
        <w:ind w:left="1620"/>
      </w:pPr>
      <w:r w:rsidRPr="00BF1D5C">
        <w:rPr>
          <w:position w:val="-34"/>
        </w:rPr>
        <w:object w:dxaOrig="4860" w:dyaOrig="720">
          <v:shape id="_x0000_i1026" type="#_x0000_t75" style="width:243pt;height:36pt" o:ole="">
            <v:imagedata r:id="rId7" o:title=""/>
          </v:shape>
          <o:OLEObject Type="Embed" ProgID="Equation.DSMT4" ShapeID="_x0000_i1026" DrawAspect="Content" ObjectID="_1446147097" r:id="rId8"/>
        </w:object>
      </w:r>
    </w:p>
    <w:p w:rsidR="004C11D2" w:rsidRPr="00BF1D5C" w:rsidRDefault="004C11D2" w:rsidP="004C11D2">
      <w:pPr>
        <w:tabs>
          <w:tab w:val="left" w:pos="0"/>
        </w:tabs>
        <w:spacing w:line="240" w:lineRule="auto"/>
      </w:pPr>
    </w:p>
    <w:p w:rsidR="004C11D2" w:rsidRPr="00BF1D5C" w:rsidRDefault="004C11D2" w:rsidP="004C11D2">
      <w:pPr>
        <w:numPr>
          <w:ilvl w:val="0"/>
          <w:numId w:val="2"/>
        </w:numPr>
        <w:tabs>
          <w:tab w:val="clear" w:pos="900"/>
          <w:tab w:val="left" w:pos="0"/>
        </w:tabs>
        <w:spacing w:after="0" w:line="240" w:lineRule="auto"/>
        <w:ind w:left="1080" w:hanging="540"/>
      </w:pPr>
      <w:r w:rsidRPr="00BF1D5C">
        <w:t>Purchase a straddle, i.e., both a put and a call on the stock.  The total cost of the straddle is: $10 + $7.65 = $17.65</w:t>
      </w:r>
    </w:p>
    <w:p w:rsidR="004C11D2" w:rsidRPr="00BF1D5C" w:rsidRDefault="004C11D2" w:rsidP="004C11D2">
      <w:pPr>
        <w:pStyle w:val="Footer"/>
        <w:tabs>
          <w:tab w:val="clear" w:pos="4320"/>
          <w:tab w:val="clear" w:pos="8640"/>
          <w:tab w:val="left" w:pos="0"/>
        </w:tabs>
        <w:spacing w:line="240" w:lineRule="auto"/>
        <w:rPr>
          <w:rFonts w:asciiTheme="minorHAnsi" w:hAnsiTheme="minorHAnsi"/>
          <w:sz w:val="22"/>
          <w:szCs w:val="22"/>
        </w:rPr>
      </w:pPr>
    </w:p>
    <w:p w:rsidR="004C11D2" w:rsidRPr="00BF1D5C" w:rsidRDefault="004C11D2" w:rsidP="004C11D2">
      <w:pPr>
        <w:pStyle w:val="Footer"/>
        <w:tabs>
          <w:tab w:val="clear" w:pos="4320"/>
          <w:tab w:val="clear" w:pos="8640"/>
          <w:tab w:val="left" w:pos="0"/>
        </w:tabs>
        <w:spacing w:line="240" w:lineRule="auto"/>
        <w:rPr>
          <w:rFonts w:asciiTheme="minorHAnsi" w:hAnsiTheme="minorHAnsi"/>
          <w:sz w:val="22"/>
          <w:szCs w:val="22"/>
        </w:rPr>
      </w:pPr>
    </w:p>
    <w:p w:rsidR="004C11D2" w:rsidRPr="00BF1D5C" w:rsidRDefault="004C11D2" w:rsidP="004C11D2">
      <w:pPr>
        <w:tabs>
          <w:tab w:val="left" w:pos="0"/>
          <w:tab w:val="left" w:pos="540"/>
        </w:tabs>
        <w:spacing w:after="120" w:line="240" w:lineRule="auto"/>
        <w:ind w:left="1080" w:hanging="1080"/>
      </w:pPr>
      <w:r w:rsidRPr="00BF1D5C">
        <w:t>8.</w:t>
      </w:r>
      <w:r w:rsidRPr="00BF1D5C">
        <w:tab/>
      </w:r>
      <w:proofErr w:type="gramStart"/>
      <w:r w:rsidRPr="00BF1D5C">
        <w:t>a</w:t>
      </w:r>
      <w:proofErr w:type="gramEnd"/>
      <w:r w:rsidRPr="00BF1D5C">
        <w:t>.</w:t>
      </w:r>
      <w:r w:rsidRPr="00BF1D5C">
        <w:tab/>
        <w:t>From put-call parity:</w:t>
      </w:r>
    </w:p>
    <w:p w:rsidR="004C11D2" w:rsidRPr="00BF1D5C" w:rsidRDefault="004C11D2" w:rsidP="004C11D2">
      <w:pPr>
        <w:tabs>
          <w:tab w:val="left" w:pos="0"/>
        </w:tabs>
        <w:spacing w:line="240" w:lineRule="auto"/>
        <w:ind w:left="1620"/>
      </w:pPr>
      <w:r w:rsidRPr="00BF1D5C">
        <w:rPr>
          <w:position w:val="-34"/>
        </w:rPr>
        <w:object w:dxaOrig="4660" w:dyaOrig="720">
          <v:shape id="_x0000_i1027" type="#_x0000_t75" style="width:233.25pt;height:36pt" o:ole="">
            <v:imagedata r:id="rId9" o:title=""/>
          </v:shape>
          <o:OLEObject Type="Embed" ProgID="Equation.DSMT4" ShapeID="_x0000_i1027" DrawAspect="Content" ObjectID="_1446147098" r:id="rId10"/>
        </w:object>
      </w:r>
      <w:r w:rsidRPr="00BF1D5C">
        <w:t xml:space="preserve"> </w:t>
      </w:r>
    </w:p>
    <w:p w:rsidR="004C11D2" w:rsidRPr="00BF1D5C" w:rsidRDefault="004C11D2" w:rsidP="004C11D2">
      <w:pPr>
        <w:tabs>
          <w:tab w:val="left" w:pos="0"/>
        </w:tabs>
        <w:spacing w:after="120" w:line="240" w:lineRule="auto"/>
        <w:ind w:left="1080" w:hanging="540"/>
      </w:pPr>
      <w:r w:rsidRPr="00BF1D5C">
        <w:t>b.</w:t>
      </w:r>
      <w:r w:rsidRPr="00BF1D5C">
        <w:tab/>
        <w:t>Sell a straddle, i.e., sell a call and a put to realize premium income of:</w:t>
      </w:r>
    </w:p>
    <w:p w:rsidR="004C11D2" w:rsidRPr="00BF1D5C" w:rsidRDefault="004C11D2" w:rsidP="004C11D2">
      <w:pPr>
        <w:tabs>
          <w:tab w:val="left" w:pos="0"/>
        </w:tabs>
        <w:spacing w:after="120" w:line="240" w:lineRule="auto"/>
        <w:ind w:left="1620"/>
      </w:pPr>
      <w:r w:rsidRPr="00BF1D5C">
        <w:t>$5.18 + $4 = $9.18</w:t>
      </w:r>
    </w:p>
    <w:p w:rsidR="004C11D2" w:rsidRPr="00BF1D5C" w:rsidRDefault="004C11D2" w:rsidP="004C11D2">
      <w:pPr>
        <w:tabs>
          <w:tab w:val="left" w:pos="0"/>
        </w:tabs>
        <w:spacing w:line="240" w:lineRule="auto"/>
        <w:ind w:left="1080" w:right="180"/>
      </w:pPr>
      <w:r w:rsidRPr="00BF1D5C">
        <w:t xml:space="preserve">If the stock ends up at $50, both of the options will be worthless and your profit will be $9.18.  This is your maximum possible profit since, at any other stock </w:t>
      </w:r>
      <w:proofErr w:type="gramStart"/>
      <w:r w:rsidRPr="00BF1D5C">
        <w:t>price,</w:t>
      </w:r>
      <w:proofErr w:type="gramEnd"/>
      <w:r w:rsidRPr="00BF1D5C">
        <w:t xml:space="preserve"> you will have to pay off on either the call or the put.  The stock price can move by $9.18 in either direction before your profits become negative.</w:t>
      </w:r>
    </w:p>
    <w:p w:rsidR="004C11D2" w:rsidRPr="00BF1D5C" w:rsidRDefault="004C11D2" w:rsidP="004C11D2">
      <w:pPr>
        <w:tabs>
          <w:tab w:val="left" w:pos="0"/>
          <w:tab w:val="left" w:pos="1080"/>
        </w:tabs>
        <w:spacing w:after="120" w:line="240" w:lineRule="auto"/>
        <w:ind w:left="1080" w:hanging="540"/>
      </w:pPr>
    </w:p>
    <w:p w:rsidR="004C11D2" w:rsidRPr="00BF1D5C" w:rsidRDefault="004C11D2" w:rsidP="004C11D2">
      <w:pPr>
        <w:tabs>
          <w:tab w:val="left" w:pos="0"/>
          <w:tab w:val="left" w:pos="1080"/>
        </w:tabs>
        <w:spacing w:after="120" w:line="240" w:lineRule="auto"/>
        <w:ind w:left="1080" w:hanging="540"/>
      </w:pPr>
      <w:r w:rsidRPr="00BF1D5C">
        <w:t>c.</w:t>
      </w:r>
      <w:r w:rsidRPr="00BF1D5C">
        <w:tab/>
        <w:t>Buy the call, sell (write) the put, lend: $50</w:t>
      </w:r>
      <w:proofErr w:type="gramStart"/>
      <w:r w:rsidRPr="00BF1D5C">
        <w:t>/(</w:t>
      </w:r>
      <w:proofErr w:type="gramEnd"/>
      <w:r w:rsidRPr="00BF1D5C">
        <w:t>1.10)</w:t>
      </w:r>
      <w:r w:rsidRPr="00BF1D5C">
        <w:rPr>
          <w:vertAlign w:val="superscript"/>
        </w:rPr>
        <w:t>1/4</w:t>
      </w:r>
    </w:p>
    <w:p w:rsidR="004C11D2" w:rsidRPr="00BF1D5C" w:rsidRDefault="004C11D2" w:rsidP="004C11D2">
      <w:pPr>
        <w:tabs>
          <w:tab w:val="left" w:pos="0"/>
        </w:tabs>
        <w:spacing w:after="120" w:line="240" w:lineRule="auto"/>
        <w:ind w:left="1080"/>
      </w:pPr>
      <w:r w:rsidRPr="00BF1D5C">
        <w:t>The payoff is as follows:</w:t>
      </w:r>
    </w:p>
    <w:tbl>
      <w:tblPr>
        <w:tblW w:w="0" w:type="auto"/>
        <w:tblInd w:w="1098" w:type="dxa"/>
        <w:tblLayout w:type="fixed"/>
        <w:tblLook w:val="01E0"/>
      </w:tblPr>
      <w:tblGrid>
        <w:gridCol w:w="1872"/>
        <w:gridCol w:w="2592"/>
        <w:gridCol w:w="1386"/>
        <w:gridCol w:w="1080"/>
      </w:tblGrid>
      <w:tr w:rsidR="004C11D2" w:rsidRPr="00BF1D5C" w:rsidTr="009A2F4D">
        <w:tblPrEx>
          <w:tblCellMar>
            <w:top w:w="0" w:type="dxa"/>
            <w:bottom w:w="0" w:type="dxa"/>
          </w:tblCellMar>
        </w:tblPrEx>
        <w:tc>
          <w:tcPr>
            <w:tcW w:w="1872" w:type="dxa"/>
            <w:tcBorders>
              <w:bottom w:val="single" w:sz="4" w:space="0" w:color="auto"/>
            </w:tcBorders>
          </w:tcPr>
          <w:p w:rsidR="004C11D2" w:rsidRPr="00BF1D5C" w:rsidRDefault="004C11D2" w:rsidP="009A2F4D">
            <w:pPr>
              <w:tabs>
                <w:tab w:val="left" w:pos="0"/>
              </w:tabs>
              <w:spacing w:line="240" w:lineRule="auto"/>
              <w:jc w:val="center"/>
            </w:pPr>
            <w:r w:rsidRPr="00BF1D5C">
              <w:t>Position</w:t>
            </w:r>
          </w:p>
        </w:tc>
        <w:tc>
          <w:tcPr>
            <w:tcW w:w="2592" w:type="dxa"/>
            <w:tcBorders>
              <w:bottom w:val="single" w:sz="4" w:space="0" w:color="auto"/>
            </w:tcBorders>
          </w:tcPr>
          <w:p w:rsidR="004C11D2" w:rsidRPr="00BF1D5C" w:rsidRDefault="004C11D2" w:rsidP="009A2F4D">
            <w:pPr>
              <w:tabs>
                <w:tab w:val="left" w:pos="0"/>
              </w:tabs>
              <w:spacing w:line="240" w:lineRule="auto"/>
              <w:jc w:val="center"/>
            </w:pPr>
            <w:r w:rsidRPr="00BF1D5C">
              <w:t>Immediate CF</w:t>
            </w:r>
          </w:p>
        </w:tc>
        <w:tc>
          <w:tcPr>
            <w:tcW w:w="2466" w:type="dxa"/>
            <w:gridSpan w:val="2"/>
            <w:tcBorders>
              <w:bottom w:val="single" w:sz="4" w:space="0" w:color="auto"/>
            </w:tcBorders>
          </w:tcPr>
          <w:p w:rsidR="004C11D2" w:rsidRPr="00BF1D5C" w:rsidRDefault="004C11D2" w:rsidP="009A2F4D">
            <w:pPr>
              <w:tabs>
                <w:tab w:val="left" w:pos="0"/>
              </w:tabs>
              <w:spacing w:line="240" w:lineRule="auto"/>
              <w:jc w:val="center"/>
            </w:pPr>
            <w:r w:rsidRPr="00BF1D5C">
              <w:t>CF in 3 months</w:t>
            </w:r>
          </w:p>
        </w:tc>
      </w:tr>
      <w:tr w:rsidR="004C11D2" w:rsidRPr="00BF1D5C" w:rsidTr="009A2F4D">
        <w:tblPrEx>
          <w:tblCellMar>
            <w:top w:w="0" w:type="dxa"/>
            <w:bottom w:w="0" w:type="dxa"/>
          </w:tblCellMar>
        </w:tblPrEx>
        <w:trPr>
          <w:trHeight w:hRule="exact" w:val="300"/>
        </w:trPr>
        <w:tc>
          <w:tcPr>
            <w:tcW w:w="1872" w:type="dxa"/>
            <w:tcBorders>
              <w:top w:val="single" w:sz="4" w:space="0" w:color="auto"/>
            </w:tcBorders>
            <w:vAlign w:val="bottom"/>
          </w:tcPr>
          <w:p w:rsidR="004C11D2" w:rsidRPr="00BF1D5C" w:rsidRDefault="004C11D2" w:rsidP="009A2F4D">
            <w:pPr>
              <w:tabs>
                <w:tab w:val="left" w:pos="0"/>
              </w:tabs>
              <w:spacing w:line="240" w:lineRule="auto"/>
              <w:jc w:val="center"/>
            </w:pPr>
          </w:p>
        </w:tc>
        <w:tc>
          <w:tcPr>
            <w:tcW w:w="2592" w:type="dxa"/>
            <w:tcBorders>
              <w:top w:val="single" w:sz="4" w:space="0" w:color="auto"/>
            </w:tcBorders>
            <w:vAlign w:val="bottom"/>
          </w:tcPr>
          <w:p w:rsidR="004C11D2" w:rsidRPr="00BF1D5C" w:rsidRDefault="004C11D2" w:rsidP="009A2F4D">
            <w:pPr>
              <w:tabs>
                <w:tab w:val="left" w:pos="0"/>
              </w:tabs>
              <w:spacing w:line="240" w:lineRule="auto"/>
              <w:jc w:val="center"/>
            </w:pPr>
          </w:p>
        </w:tc>
        <w:tc>
          <w:tcPr>
            <w:tcW w:w="1386"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S</w:t>
            </w:r>
            <w:r w:rsidRPr="00BF1D5C">
              <w:rPr>
                <w:vertAlign w:val="subscript"/>
              </w:rPr>
              <w:t xml:space="preserve"> T</w:t>
            </w:r>
            <w:r w:rsidRPr="00BF1D5C">
              <w:t xml:space="preserve"> ≤ X</w:t>
            </w:r>
          </w:p>
        </w:tc>
        <w:tc>
          <w:tcPr>
            <w:tcW w:w="1080" w:type="dxa"/>
            <w:tcBorders>
              <w:top w:val="single" w:sz="4" w:space="0" w:color="auto"/>
              <w:bottom w:val="single" w:sz="4" w:space="0" w:color="auto"/>
            </w:tcBorders>
            <w:vAlign w:val="bottom"/>
          </w:tcPr>
          <w:p w:rsidR="004C11D2" w:rsidRPr="00BF1D5C" w:rsidRDefault="004C11D2" w:rsidP="009A2F4D">
            <w:pPr>
              <w:tabs>
                <w:tab w:val="left" w:pos="0"/>
              </w:tabs>
              <w:spacing w:line="240" w:lineRule="auto"/>
              <w:jc w:val="center"/>
            </w:pPr>
            <w:r w:rsidRPr="00BF1D5C">
              <w:t>S</w:t>
            </w:r>
            <w:r w:rsidRPr="00BF1D5C">
              <w:rPr>
                <w:vertAlign w:val="subscript"/>
              </w:rPr>
              <w:t xml:space="preserve"> T</w:t>
            </w:r>
            <w:r w:rsidRPr="00BF1D5C">
              <w:t xml:space="preserve"> &gt; X</w:t>
            </w:r>
          </w:p>
        </w:tc>
      </w:tr>
      <w:tr w:rsidR="005D4D22" w:rsidRPr="00BF1D5C" w:rsidTr="009A2F4D">
        <w:tblPrEx>
          <w:tblCellMar>
            <w:top w:w="0" w:type="dxa"/>
            <w:bottom w:w="0" w:type="dxa"/>
          </w:tblCellMar>
        </w:tblPrEx>
        <w:trPr>
          <w:trHeight w:hRule="exact" w:val="300"/>
        </w:trPr>
        <w:tc>
          <w:tcPr>
            <w:tcW w:w="1872" w:type="dxa"/>
            <w:vAlign w:val="bottom"/>
          </w:tcPr>
          <w:p w:rsidR="005D4D22" w:rsidRPr="00BF1D5C" w:rsidRDefault="005D4D22" w:rsidP="009A2F4D">
            <w:pPr>
              <w:tabs>
                <w:tab w:val="left" w:pos="0"/>
              </w:tabs>
              <w:spacing w:line="240" w:lineRule="auto"/>
              <w:jc w:val="center"/>
            </w:pPr>
            <w:r w:rsidRPr="00BF1D5C">
              <w:lastRenderedPageBreak/>
              <w:t>Call (long)</w:t>
            </w:r>
          </w:p>
        </w:tc>
        <w:tc>
          <w:tcPr>
            <w:tcW w:w="2592" w:type="dxa"/>
            <w:vAlign w:val="bottom"/>
          </w:tcPr>
          <w:p w:rsidR="005D4D22" w:rsidRPr="00BF1D5C" w:rsidRDefault="005D4D22" w:rsidP="009A2F4D">
            <w:pPr>
              <w:tabs>
                <w:tab w:val="left" w:pos="0"/>
              </w:tabs>
              <w:spacing w:line="240" w:lineRule="auto"/>
              <w:jc w:val="center"/>
            </w:pPr>
            <w:r w:rsidRPr="00BF1D5C">
              <w:t>C = 5.18</w:t>
            </w:r>
          </w:p>
        </w:tc>
        <w:tc>
          <w:tcPr>
            <w:tcW w:w="1386" w:type="dxa"/>
            <w:tcBorders>
              <w:top w:val="single" w:sz="4" w:space="0" w:color="auto"/>
            </w:tcBorders>
            <w:vAlign w:val="bottom"/>
          </w:tcPr>
          <w:p w:rsidR="005D4D22" w:rsidRPr="00BF1D5C" w:rsidRDefault="005D4D22" w:rsidP="009A2F4D">
            <w:pPr>
              <w:tabs>
                <w:tab w:val="left" w:pos="0"/>
              </w:tabs>
              <w:spacing w:line="240" w:lineRule="auto"/>
              <w:jc w:val="center"/>
            </w:pPr>
            <w:r w:rsidRPr="00BF1D5C">
              <w:t>0</w:t>
            </w:r>
          </w:p>
        </w:tc>
        <w:tc>
          <w:tcPr>
            <w:tcW w:w="1080" w:type="dxa"/>
            <w:tcBorders>
              <w:top w:val="single" w:sz="4" w:space="0" w:color="auto"/>
            </w:tcBorders>
            <w:vAlign w:val="bottom"/>
          </w:tcPr>
          <w:p w:rsidR="005D4D22" w:rsidRPr="00BF1D5C" w:rsidRDefault="005D4D22" w:rsidP="009A2F4D">
            <w:pPr>
              <w:tabs>
                <w:tab w:val="left" w:pos="0"/>
              </w:tabs>
              <w:spacing w:line="240" w:lineRule="auto"/>
              <w:jc w:val="center"/>
            </w:pPr>
            <w:r w:rsidRPr="00BF1D5C">
              <w:t>S</w:t>
            </w:r>
            <w:r w:rsidRPr="00BF1D5C">
              <w:rPr>
                <w:vertAlign w:val="subscript"/>
              </w:rPr>
              <w:t xml:space="preserve"> T</w:t>
            </w:r>
            <w:r w:rsidRPr="00BF1D5C">
              <w:t xml:space="preserve"> – 50</w:t>
            </w:r>
          </w:p>
        </w:tc>
      </w:tr>
      <w:tr w:rsidR="005D4D22" w:rsidRPr="00BF1D5C" w:rsidTr="009A2F4D">
        <w:tblPrEx>
          <w:tblCellMar>
            <w:top w:w="0" w:type="dxa"/>
            <w:bottom w:w="0" w:type="dxa"/>
          </w:tblCellMar>
        </w:tblPrEx>
        <w:trPr>
          <w:trHeight w:hRule="exact" w:val="300"/>
        </w:trPr>
        <w:tc>
          <w:tcPr>
            <w:tcW w:w="1872" w:type="dxa"/>
            <w:vAlign w:val="bottom"/>
          </w:tcPr>
          <w:p w:rsidR="005D4D22" w:rsidRPr="00BF1D5C" w:rsidRDefault="005D4D22" w:rsidP="009A2F4D">
            <w:pPr>
              <w:tabs>
                <w:tab w:val="left" w:pos="0"/>
              </w:tabs>
              <w:spacing w:line="240" w:lineRule="auto"/>
              <w:jc w:val="center"/>
            </w:pPr>
            <w:r w:rsidRPr="00BF1D5C">
              <w:t>Put (short)</w:t>
            </w:r>
          </w:p>
        </w:tc>
        <w:tc>
          <w:tcPr>
            <w:tcW w:w="2592" w:type="dxa"/>
            <w:vAlign w:val="bottom"/>
          </w:tcPr>
          <w:p w:rsidR="005D4D22" w:rsidRPr="00BF1D5C" w:rsidRDefault="005D4D22" w:rsidP="009A2F4D">
            <w:pPr>
              <w:tabs>
                <w:tab w:val="left" w:pos="0"/>
              </w:tabs>
              <w:spacing w:line="240" w:lineRule="auto"/>
              <w:jc w:val="center"/>
            </w:pPr>
            <w:r w:rsidRPr="00BF1D5C">
              <w:t>–P = 4.00</w:t>
            </w:r>
          </w:p>
        </w:tc>
        <w:tc>
          <w:tcPr>
            <w:tcW w:w="1386" w:type="dxa"/>
            <w:vAlign w:val="bottom"/>
          </w:tcPr>
          <w:p w:rsidR="005D4D22" w:rsidRPr="00BF1D5C" w:rsidRDefault="005D4D22" w:rsidP="009A2F4D">
            <w:pPr>
              <w:tabs>
                <w:tab w:val="left" w:pos="0"/>
              </w:tabs>
              <w:spacing w:line="240" w:lineRule="auto"/>
              <w:jc w:val="center"/>
            </w:pPr>
            <w:r w:rsidRPr="00BF1D5C">
              <w:t>– (50 – S</w:t>
            </w:r>
            <w:r w:rsidRPr="00BF1D5C">
              <w:rPr>
                <w:vertAlign w:val="subscript"/>
              </w:rPr>
              <w:t xml:space="preserve"> T</w:t>
            </w:r>
            <w:r w:rsidRPr="00BF1D5C">
              <w:t>)</w:t>
            </w:r>
          </w:p>
        </w:tc>
        <w:tc>
          <w:tcPr>
            <w:tcW w:w="1080" w:type="dxa"/>
            <w:vAlign w:val="bottom"/>
          </w:tcPr>
          <w:p w:rsidR="005D4D22" w:rsidRPr="00BF1D5C" w:rsidRDefault="005D4D22" w:rsidP="009A2F4D">
            <w:pPr>
              <w:tabs>
                <w:tab w:val="left" w:pos="0"/>
              </w:tabs>
              <w:spacing w:line="240" w:lineRule="auto"/>
              <w:jc w:val="center"/>
            </w:pPr>
            <w:r w:rsidRPr="00BF1D5C">
              <w:t>0</w:t>
            </w:r>
          </w:p>
        </w:tc>
      </w:tr>
      <w:tr w:rsidR="005D4D22" w:rsidRPr="00BF1D5C" w:rsidTr="009A2F4D">
        <w:tblPrEx>
          <w:tblCellMar>
            <w:top w:w="0" w:type="dxa"/>
            <w:bottom w:w="0" w:type="dxa"/>
          </w:tblCellMar>
        </w:tblPrEx>
        <w:tc>
          <w:tcPr>
            <w:tcW w:w="1872" w:type="dxa"/>
            <w:tcBorders>
              <w:bottom w:val="single" w:sz="4" w:space="0" w:color="auto"/>
            </w:tcBorders>
            <w:vAlign w:val="center"/>
          </w:tcPr>
          <w:p w:rsidR="005D4D22" w:rsidRPr="00BF1D5C" w:rsidRDefault="005D4D22" w:rsidP="009A2F4D">
            <w:pPr>
              <w:tabs>
                <w:tab w:val="left" w:pos="0"/>
              </w:tabs>
              <w:spacing w:line="240" w:lineRule="auto"/>
              <w:jc w:val="center"/>
            </w:pPr>
            <w:r w:rsidRPr="00BF1D5C">
              <w:t>Lending position</w:t>
            </w:r>
          </w:p>
        </w:tc>
        <w:tc>
          <w:tcPr>
            <w:tcW w:w="2592" w:type="dxa"/>
            <w:tcBorders>
              <w:bottom w:val="single" w:sz="4" w:space="0" w:color="auto"/>
            </w:tcBorders>
            <w:vAlign w:val="center"/>
          </w:tcPr>
          <w:p w:rsidR="005D4D22" w:rsidRPr="00BF1D5C" w:rsidRDefault="005D4D22" w:rsidP="009A2F4D">
            <w:pPr>
              <w:tabs>
                <w:tab w:val="left" w:pos="0"/>
              </w:tabs>
              <w:spacing w:line="240" w:lineRule="auto"/>
              <w:jc w:val="center"/>
            </w:pPr>
            <w:r w:rsidRPr="00BF1D5C">
              <w:rPr>
                <w:position w:val="-24"/>
              </w:rPr>
              <w:object w:dxaOrig="1560" w:dyaOrig="620">
                <v:shape id="_x0000_i1031" type="#_x0000_t75" style="width:78pt;height:30.75pt" o:ole="" fillcolor="window">
                  <v:imagedata r:id="rId11" o:title=""/>
                </v:shape>
                <o:OLEObject Type="Embed" ProgID="Equation.3" ShapeID="_x0000_i1031" DrawAspect="Content" ObjectID="_1446147099" r:id="rId12"/>
              </w:object>
            </w:r>
          </w:p>
        </w:tc>
        <w:tc>
          <w:tcPr>
            <w:tcW w:w="1386" w:type="dxa"/>
            <w:tcBorders>
              <w:bottom w:val="single" w:sz="4" w:space="0" w:color="auto"/>
            </w:tcBorders>
            <w:vAlign w:val="center"/>
          </w:tcPr>
          <w:p w:rsidR="005D4D22" w:rsidRPr="00BF1D5C" w:rsidRDefault="005D4D22" w:rsidP="009A2F4D">
            <w:pPr>
              <w:tabs>
                <w:tab w:val="left" w:pos="0"/>
              </w:tabs>
              <w:spacing w:line="240" w:lineRule="auto"/>
              <w:jc w:val="center"/>
            </w:pPr>
            <w:r w:rsidRPr="00BF1D5C">
              <w:t>50</w:t>
            </w:r>
          </w:p>
        </w:tc>
        <w:tc>
          <w:tcPr>
            <w:tcW w:w="1080" w:type="dxa"/>
            <w:tcBorders>
              <w:bottom w:val="single" w:sz="4" w:space="0" w:color="auto"/>
            </w:tcBorders>
            <w:vAlign w:val="center"/>
          </w:tcPr>
          <w:p w:rsidR="005D4D22" w:rsidRPr="00BF1D5C" w:rsidRDefault="005D4D22" w:rsidP="009A2F4D">
            <w:pPr>
              <w:tabs>
                <w:tab w:val="left" w:pos="0"/>
              </w:tabs>
              <w:spacing w:line="240" w:lineRule="auto"/>
              <w:jc w:val="center"/>
            </w:pPr>
            <w:r w:rsidRPr="00BF1D5C">
              <w:t>50</w:t>
            </w:r>
          </w:p>
        </w:tc>
      </w:tr>
      <w:tr w:rsidR="005D4D22" w:rsidRPr="00BF1D5C" w:rsidTr="009A2F4D">
        <w:tblPrEx>
          <w:tblCellMar>
            <w:top w:w="0" w:type="dxa"/>
            <w:bottom w:w="0" w:type="dxa"/>
          </w:tblCellMar>
        </w:tblPrEx>
        <w:tc>
          <w:tcPr>
            <w:tcW w:w="1872" w:type="dxa"/>
            <w:tcBorders>
              <w:top w:val="single" w:sz="4" w:space="0" w:color="auto"/>
            </w:tcBorders>
            <w:vAlign w:val="center"/>
          </w:tcPr>
          <w:p w:rsidR="005D4D22" w:rsidRPr="00BF1D5C" w:rsidRDefault="005D4D22" w:rsidP="009A2F4D">
            <w:pPr>
              <w:tabs>
                <w:tab w:val="left" w:pos="0"/>
              </w:tabs>
              <w:spacing w:line="240" w:lineRule="auto"/>
              <w:jc w:val="center"/>
            </w:pPr>
            <w:r w:rsidRPr="00BF1D5C">
              <w:t>Total</w:t>
            </w:r>
          </w:p>
        </w:tc>
        <w:tc>
          <w:tcPr>
            <w:tcW w:w="2592" w:type="dxa"/>
            <w:tcBorders>
              <w:top w:val="single" w:sz="4" w:space="0" w:color="auto"/>
            </w:tcBorders>
            <w:vAlign w:val="center"/>
          </w:tcPr>
          <w:p w:rsidR="005D4D22" w:rsidRPr="00BF1D5C" w:rsidRDefault="005D4D22" w:rsidP="009A2F4D">
            <w:pPr>
              <w:tabs>
                <w:tab w:val="left" w:pos="0"/>
              </w:tabs>
              <w:spacing w:line="240" w:lineRule="auto"/>
            </w:pPr>
            <w:r w:rsidRPr="00BF1D5C">
              <w:t xml:space="preserve">C – P + </w:t>
            </w:r>
            <w:r w:rsidRPr="00BF1D5C">
              <w:rPr>
                <w:position w:val="-24"/>
              </w:rPr>
              <w:object w:dxaOrig="1560" w:dyaOrig="620">
                <v:shape id="_x0000_i1032" type="#_x0000_t75" style="width:78pt;height:30.75pt" o:ole="" fillcolor="window">
                  <v:imagedata r:id="rId13" o:title=""/>
                </v:shape>
                <o:OLEObject Type="Embed" ProgID="Equation.3" ShapeID="_x0000_i1032" DrawAspect="Content" ObjectID="_1446147100" r:id="rId14"/>
              </w:object>
            </w:r>
          </w:p>
        </w:tc>
        <w:tc>
          <w:tcPr>
            <w:tcW w:w="1386" w:type="dxa"/>
            <w:tcBorders>
              <w:top w:val="single" w:sz="4" w:space="0" w:color="auto"/>
            </w:tcBorders>
            <w:vAlign w:val="center"/>
          </w:tcPr>
          <w:p w:rsidR="005D4D22" w:rsidRPr="00BF1D5C" w:rsidRDefault="005D4D22" w:rsidP="009A2F4D">
            <w:pPr>
              <w:tabs>
                <w:tab w:val="left" w:pos="0"/>
              </w:tabs>
              <w:spacing w:line="240" w:lineRule="auto"/>
              <w:jc w:val="center"/>
            </w:pPr>
            <w:r w:rsidRPr="00BF1D5C">
              <w:t>S</w:t>
            </w:r>
            <w:r w:rsidRPr="00BF1D5C">
              <w:rPr>
                <w:vertAlign w:val="subscript"/>
              </w:rPr>
              <w:t xml:space="preserve"> T</w:t>
            </w:r>
          </w:p>
        </w:tc>
        <w:tc>
          <w:tcPr>
            <w:tcW w:w="1080" w:type="dxa"/>
            <w:tcBorders>
              <w:top w:val="single" w:sz="4" w:space="0" w:color="auto"/>
            </w:tcBorders>
            <w:vAlign w:val="center"/>
          </w:tcPr>
          <w:p w:rsidR="005D4D22" w:rsidRPr="00BF1D5C" w:rsidRDefault="005D4D22" w:rsidP="009A2F4D">
            <w:pPr>
              <w:tabs>
                <w:tab w:val="left" w:pos="0"/>
              </w:tabs>
              <w:spacing w:line="240" w:lineRule="auto"/>
              <w:jc w:val="center"/>
            </w:pPr>
            <w:r w:rsidRPr="00BF1D5C">
              <w:t>S</w:t>
            </w:r>
            <w:r w:rsidRPr="00BF1D5C">
              <w:rPr>
                <w:vertAlign w:val="subscript"/>
              </w:rPr>
              <w:t xml:space="preserve"> T</w:t>
            </w:r>
          </w:p>
        </w:tc>
      </w:tr>
    </w:tbl>
    <w:p w:rsidR="005D4D22" w:rsidRPr="00BF1D5C" w:rsidRDefault="005D4D22" w:rsidP="005D4D22">
      <w:pPr>
        <w:tabs>
          <w:tab w:val="left" w:pos="0"/>
        </w:tabs>
        <w:spacing w:before="120" w:after="120" w:line="240" w:lineRule="auto"/>
        <w:ind w:left="1080"/>
      </w:pPr>
      <w:r w:rsidRPr="00BF1D5C">
        <w:t>By the put-call parity theorem, the initial outlay equals the stock price:</w:t>
      </w:r>
    </w:p>
    <w:p w:rsidR="005D4D22" w:rsidRPr="00BF1D5C" w:rsidRDefault="005D4D22" w:rsidP="005D4D22">
      <w:pPr>
        <w:tabs>
          <w:tab w:val="left" w:pos="0"/>
        </w:tabs>
        <w:spacing w:line="360" w:lineRule="auto"/>
        <w:ind w:left="1620"/>
      </w:pPr>
      <w:r w:rsidRPr="00BF1D5C">
        <w:t>S</w:t>
      </w:r>
      <w:r w:rsidRPr="00BF1D5C">
        <w:rPr>
          <w:vertAlign w:val="subscript"/>
        </w:rPr>
        <w:t>0</w:t>
      </w:r>
      <w:r w:rsidRPr="00BF1D5C">
        <w:t xml:space="preserve"> = $50</w:t>
      </w:r>
    </w:p>
    <w:p w:rsidR="005D4D22" w:rsidRPr="00BF1D5C" w:rsidRDefault="005D4D22" w:rsidP="005D4D22">
      <w:pPr>
        <w:tabs>
          <w:tab w:val="left" w:pos="0"/>
        </w:tabs>
        <w:spacing w:line="240" w:lineRule="auto"/>
        <w:ind w:left="1080"/>
      </w:pPr>
      <w:r w:rsidRPr="00BF1D5C">
        <w:t>In either scenario, you end up with the same payoff as you would if you bought the stock itself.</w:t>
      </w:r>
    </w:p>
    <w:p w:rsidR="005D4D22" w:rsidRPr="00BF1D5C" w:rsidRDefault="004C11D2" w:rsidP="005D4D22">
      <w:pPr>
        <w:pStyle w:val="Footer"/>
        <w:tabs>
          <w:tab w:val="clear" w:pos="4320"/>
          <w:tab w:val="clear" w:pos="8640"/>
          <w:tab w:val="left" w:pos="0"/>
        </w:tabs>
        <w:spacing w:line="240" w:lineRule="auto"/>
        <w:ind w:left="720" w:hanging="720"/>
        <w:rPr>
          <w:rFonts w:asciiTheme="minorHAnsi" w:hAnsiTheme="minorHAnsi"/>
          <w:sz w:val="22"/>
          <w:szCs w:val="22"/>
        </w:rPr>
      </w:pPr>
      <w:r w:rsidRPr="00BF1D5C">
        <w:rPr>
          <w:rFonts w:asciiTheme="minorHAnsi" w:hAnsiTheme="minorHAnsi"/>
          <w:sz w:val="22"/>
          <w:szCs w:val="22"/>
        </w:rPr>
        <w:br w:type="page"/>
      </w:r>
      <w:r w:rsidR="005D4D22" w:rsidRPr="00BF1D5C">
        <w:rPr>
          <w:rFonts w:asciiTheme="minorHAnsi" w:hAnsiTheme="minorHAnsi"/>
          <w:sz w:val="22"/>
          <w:szCs w:val="22"/>
        </w:rPr>
        <w:lastRenderedPageBreak/>
        <w:t xml:space="preserve">10. </w:t>
      </w:r>
      <w:r w:rsidR="005D4D22" w:rsidRPr="00BF1D5C">
        <w:rPr>
          <w:rFonts w:asciiTheme="minorHAnsi" w:hAnsiTheme="minorHAnsi"/>
          <w:sz w:val="22"/>
          <w:szCs w:val="22"/>
        </w:rPr>
        <w:tab/>
        <w:t>Note that the price of the put equals the revenue from writing the call, net initial cash outlays = $38.00</w:t>
      </w:r>
    </w:p>
    <w:tbl>
      <w:tblPr>
        <w:tblW w:w="0" w:type="auto"/>
        <w:tblInd w:w="1160" w:type="dxa"/>
        <w:tblLayout w:type="fixed"/>
        <w:tblCellMar>
          <w:left w:w="80" w:type="dxa"/>
          <w:right w:w="80" w:type="dxa"/>
        </w:tblCellMar>
        <w:tblLook w:val="0000"/>
      </w:tblPr>
      <w:tblGrid>
        <w:gridCol w:w="1856"/>
        <w:gridCol w:w="1857"/>
        <w:gridCol w:w="1857"/>
        <w:gridCol w:w="1857"/>
      </w:tblGrid>
      <w:tr w:rsidR="005D4D22" w:rsidRPr="00BF1D5C" w:rsidTr="009A2F4D">
        <w:tblPrEx>
          <w:tblCellMar>
            <w:top w:w="0" w:type="dxa"/>
            <w:bottom w:w="0" w:type="dxa"/>
          </w:tblCellMar>
        </w:tblPrEx>
        <w:trPr>
          <w:cantSplit/>
          <w:trHeight w:hRule="exact" w:val="400"/>
        </w:trPr>
        <w:tc>
          <w:tcPr>
            <w:tcW w:w="1856" w:type="dxa"/>
            <w:tcBorders>
              <w:bottom w:val="single" w:sz="6" w:space="0" w:color="auto"/>
            </w:tcBorders>
          </w:tcPr>
          <w:p w:rsidR="005D4D22" w:rsidRPr="00BF1D5C" w:rsidRDefault="005D4D22" w:rsidP="009A2F4D">
            <w:pPr>
              <w:tabs>
                <w:tab w:val="left" w:pos="0"/>
              </w:tabs>
              <w:spacing w:line="360" w:lineRule="atLeast"/>
            </w:pPr>
            <w:r w:rsidRPr="00BF1D5C">
              <w:t>Position</w:t>
            </w:r>
          </w:p>
        </w:tc>
        <w:tc>
          <w:tcPr>
            <w:tcW w:w="1857" w:type="dxa"/>
            <w:tcBorders>
              <w:bottom w:val="single" w:sz="6" w:space="0" w:color="auto"/>
            </w:tcBorders>
          </w:tcPr>
          <w:p w:rsidR="005D4D22" w:rsidRPr="00BF1D5C" w:rsidRDefault="005D4D22" w:rsidP="009A2F4D">
            <w:pPr>
              <w:tabs>
                <w:tab w:val="left" w:pos="0"/>
              </w:tabs>
              <w:spacing w:line="360" w:lineRule="atLeast"/>
              <w:jc w:val="center"/>
            </w:pPr>
            <w:r w:rsidRPr="00BF1D5C">
              <w:rPr>
                <w:position w:val="-12"/>
              </w:rPr>
              <w:object w:dxaOrig="300" w:dyaOrig="360">
                <v:shape id="_x0000_i1033" type="#_x0000_t75" style="width:15pt;height:18pt" o:ole="">
                  <v:imagedata r:id="rId15" o:title=""/>
                </v:shape>
                <o:OLEObject Type="Embed" ProgID="Equation.DSMT4" ShapeID="_x0000_i1033" DrawAspect="Content" ObjectID="_1446147101" r:id="rId16"/>
              </w:object>
            </w:r>
            <w:r w:rsidRPr="00BF1D5C">
              <w:t xml:space="preserve"> &lt; 35</w:t>
            </w:r>
          </w:p>
        </w:tc>
        <w:tc>
          <w:tcPr>
            <w:tcW w:w="1857" w:type="dxa"/>
            <w:tcBorders>
              <w:bottom w:val="single" w:sz="6" w:space="0" w:color="auto"/>
            </w:tcBorders>
          </w:tcPr>
          <w:p w:rsidR="005D4D22" w:rsidRPr="00BF1D5C" w:rsidRDefault="005D4D22" w:rsidP="009A2F4D">
            <w:pPr>
              <w:tabs>
                <w:tab w:val="left" w:pos="0"/>
              </w:tabs>
              <w:spacing w:line="360" w:lineRule="atLeast"/>
              <w:ind w:left="-13" w:firstLine="13"/>
              <w:jc w:val="center"/>
            </w:pPr>
            <w:r w:rsidRPr="00BF1D5C">
              <w:t xml:space="preserve">35 </w:t>
            </w:r>
            <w:r w:rsidRPr="00BF1D5C">
              <w:sym w:font="Symbol (AS)" w:char="F0A3"/>
            </w:r>
            <w:r w:rsidRPr="00BF1D5C">
              <w:t xml:space="preserve"> </w:t>
            </w:r>
            <w:r w:rsidRPr="00BF1D5C">
              <w:rPr>
                <w:position w:val="-12"/>
              </w:rPr>
              <w:object w:dxaOrig="300" w:dyaOrig="360">
                <v:shape id="_x0000_i1034" type="#_x0000_t75" style="width:15pt;height:18pt" o:ole="">
                  <v:imagedata r:id="rId15" o:title=""/>
                </v:shape>
                <o:OLEObject Type="Embed" ProgID="Equation.DSMT4" ShapeID="_x0000_i1034" DrawAspect="Content" ObjectID="_1446147102" r:id="rId17"/>
              </w:object>
            </w:r>
            <w:r w:rsidRPr="00BF1D5C">
              <w:sym w:font="Symbol (AS)" w:char="F0A3"/>
            </w:r>
            <w:r w:rsidRPr="00BF1D5C">
              <w:t xml:space="preserve"> 40 X</w:t>
            </w:r>
            <w:r w:rsidRPr="00BF1D5C">
              <w:rPr>
                <w:vertAlign w:val="subscript"/>
              </w:rPr>
              <w:t>2</w:t>
            </w:r>
            <w:r w:rsidRPr="00BF1D5C">
              <w:t>X</w:t>
            </w:r>
            <w:r w:rsidRPr="00BF1D5C">
              <w:rPr>
                <w:vertAlign w:val="subscript"/>
              </w:rPr>
              <w:t>2</w:t>
            </w:r>
            <w:r w:rsidRPr="00BF1D5C">
              <w:t>X</w:t>
            </w:r>
            <w:r w:rsidRPr="00BF1D5C">
              <w:sym w:font="Symbol (AS)" w:char="F0A3"/>
            </w:r>
            <w:r w:rsidRPr="00BF1D5C">
              <w:sym w:font="Symbol (AS)" w:char="F0A3"/>
            </w:r>
            <w:r w:rsidRPr="00BF1D5C">
              <w:sym w:font="Symbol (AS)" w:char="F0A3"/>
            </w:r>
            <w:r w:rsidRPr="00BF1D5C">
              <w:sym w:font="Symbol (AS)" w:char="F0A3"/>
            </w:r>
            <w:r w:rsidRPr="00BF1D5C">
              <w:sym w:font="Symbol (AS)" w:char="F0A3"/>
            </w:r>
            <w:r w:rsidRPr="00BF1D5C">
              <w:t>X</w:t>
            </w:r>
            <w:r w:rsidRPr="00BF1D5C">
              <w:rPr>
                <w:vertAlign w:val="subscript"/>
              </w:rPr>
              <w:t>2</w:t>
            </w:r>
            <w:r w:rsidRPr="00BF1D5C">
              <w:t>X</w:t>
            </w:r>
            <w:r w:rsidRPr="00BF1D5C">
              <w:rPr>
                <w:vertAlign w:val="subscript"/>
              </w:rPr>
              <w:t>2</w:t>
            </w:r>
            <w:r w:rsidRPr="00BF1D5C">
              <w:t>X</w:t>
            </w:r>
            <w:r w:rsidRPr="00BF1D5C">
              <w:rPr>
                <w:vertAlign w:val="subscript"/>
              </w:rPr>
              <w:t>2</w:t>
            </w:r>
            <w:r w:rsidRPr="00BF1D5C">
              <w:t>X</w:t>
            </w:r>
            <w:r w:rsidRPr="00BF1D5C">
              <w:rPr>
                <w:vertAlign w:val="subscript"/>
              </w:rPr>
              <w:t>2</w:t>
            </w:r>
            <w:r w:rsidRPr="00BF1D5C">
              <w:t>X</w:t>
            </w:r>
            <w:r w:rsidRPr="00BF1D5C">
              <w:rPr>
                <w:vertAlign w:val="subscript"/>
              </w:rPr>
              <w:t>2</w:t>
            </w:r>
          </w:p>
        </w:tc>
        <w:tc>
          <w:tcPr>
            <w:tcW w:w="1857" w:type="dxa"/>
            <w:tcBorders>
              <w:bottom w:val="single" w:sz="6" w:space="0" w:color="auto"/>
            </w:tcBorders>
          </w:tcPr>
          <w:p w:rsidR="005D4D22" w:rsidRPr="00BF1D5C" w:rsidRDefault="005D4D22" w:rsidP="009A2F4D">
            <w:pPr>
              <w:tabs>
                <w:tab w:val="left" w:pos="0"/>
              </w:tabs>
              <w:spacing w:line="360" w:lineRule="atLeast"/>
              <w:ind w:left="20"/>
              <w:jc w:val="center"/>
            </w:pPr>
            <w:r w:rsidRPr="00BF1D5C">
              <w:t xml:space="preserve">40 &lt; </w:t>
            </w:r>
            <w:r w:rsidRPr="00BF1D5C">
              <w:rPr>
                <w:position w:val="-12"/>
              </w:rPr>
              <w:object w:dxaOrig="300" w:dyaOrig="360">
                <v:shape id="_x0000_i1035" type="#_x0000_t75" style="width:15pt;height:18pt" o:ole="">
                  <v:imagedata r:id="rId15" o:title=""/>
                </v:shape>
                <o:OLEObject Type="Embed" ProgID="Equation.DSMT4" ShapeID="_x0000_i1035" DrawAspect="Content" ObjectID="_1446147103" r:id="rId18"/>
              </w:object>
            </w:r>
          </w:p>
        </w:tc>
      </w:tr>
      <w:tr w:rsidR="005D4D22" w:rsidRPr="00BF1D5C" w:rsidTr="009A2F4D">
        <w:tblPrEx>
          <w:tblCellMar>
            <w:top w:w="0" w:type="dxa"/>
            <w:bottom w:w="0" w:type="dxa"/>
          </w:tblCellMar>
        </w:tblPrEx>
        <w:trPr>
          <w:cantSplit/>
        </w:trPr>
        <w:tc>
          <w:tcPr>
            <w:tcW w:w="1856" w:type="dxa"/>
            <w:tcBorders>
              <w:top w:val="single" w:sz="6" w:space="0" w:color="auto"/>
            </w:tcBorders>
          </w:tcPr>
          <w:p w:rsidR="005D4D22" w:rsidRPr="00BF1D5C" w:rsidRDefault="005D4D22" w:rsidP="009A2F4D">
            <w:pPr>
              <w:tabs>
                <w:tab w:val="left" w:pos="0"/>
              </w:tabs>
              <w:spacing w:line="360" w:lineRule="atLeast"/>
            </w:pPr>
            <w:r w:rsidRPr="00BF1D5C">
              <w:t xml:space="preserve">Buy Stock </w:t>
            </w:r>
          </w:p>
        </w:tc>
        <w:tc>
          <w:tcPr>
            <w:tcW w:w="1857" w:type="dxa"/>
            <w:tcBorders>
              <w:top w:val="single" w:sz="6" w:space="0" w:color="auto"/>
            </w:tcBorders>
          </w:tcPr>
          <w:p w:rsidR="005D4D22" w:rsidRPr="00BF1D5C" w:rsidRDefault="005D4D22" w:rsidP="009A2F4D">
            <w:pPr>
              <w:tabs>
                <w:tab w:val="left" w:pos="0"/>
              </w:tabs>
              <w:spacing w:line="360" w:lineRule="atLeast"/>
              <w:jc w:val="center"/>
            </w:pPr>
            <w:r w:rsidRPr="00BF1D5C">
              <w:rPr>
                <w:position w:val="-12"/>
              </w:rPr>
              <w:object w:dxaOrig="300" w:dyaOrig="360">
                <v:shape id="_x0000_i1036" type="#_x0000_t75" style="width:15pt;height:18pt" o:ole="">
                  <v:imagedata r:id="rId15" o:title=""/>
                </v:shape>
                <o:OLEObject Type="Embed" ProgID="Equation.DSMT4" ShapeID="_x0000_i1036" DrawAspect="Content" ObjectID="_1446147104" r:id="rId19"/>
              </w:object>
            </w:r>
          </w:p>
        </w:tc>
        <w:tc>
          <w:tcPr>
            <w:tcW w:w="1857" w:type="dxa"/>
            <w:tcBorders>
              <w:top w:val="single" w:sz="6" w:space="0" w:color="auto"/>
            </w:tcBorders>
          </w:tcPr>
          <w:p w:rsidR="005D4D22" w:rsidRPr="00BF1D5C" w:rsidRDefault="005D4D22" w:rsidP="009A2F4D">
            <w:pPr>
              <w:tabs>
                <w:tab w:val="left" w:pos="0"/>
              </w:tabs>
              <w:spacing w:line="360" w:lineRule="atLeast"/>
              <w:ind w:left="-13" w:firstLine="13"/>
              <w:jc w:val="center"/>
            </w:pPr>
            <w:r w:rsidRPr="00BF1D5C">
              <w:rPr>
                <w:position w:val="-12"/>
              </w:rPr>
              <w:object w:dxaOrig="300" w:dyaOrig="360">
                <v:shape id="_x0000_i1037" type="#_x0000_t75" style="width:15pt;height:18pt" o:ole="">
                  <v:imagedata r:id="rId15" o:title=""/>
                </v:shape>
                <o:OLEObject Type="Embed" ProgID="Equation.DSMT4" ShapeID="_x0000_i1037" DrawAspect="Content" ObjectID="_1446147105" r:id="rId20"/>
              </w:object>
            </w:r>
          </w:p>
        </w:tc>
        <w:tc>
          <w:tcPr>
            <w:tcW w:w="1857" w:type="dxa"/>
            <w:tcBorders>
              <w:top w:val="single" w:sz="6" w:space="0" w:color="auto"/>
            </w:tcBorders>
          </w:tcPr>
          <w:p w:rsidR="005D4D22" w:rsidRPr="00BF1D5C" w:rsidRDefault="005D4D22" w:rsidP="009A2F4D">
            <w:pPr>
              <w:tabs>
                <w:tab w:val="left" w:pos="0"/>
              </w:tabs>
              <w:spacing w:line="360" w:lineRule="atLeast"/>
              <w:ind w:left="20"/>
              <w:jc w:val="center"/>
            </w:pPr>
            <w:r w:rsidRPr="00BF1D5C">
              <w:rPr>
                <w:position w:val="-12"/>
              </w:rPr>
              <w:object w:dxaOrig="300" w:dyaOrig="360">
                <v:shape id="_x0000_i1038" type="#_x0000_t75" style="width:15pt;height:18pt" o:ole="">
                  <v:imagedata r:id="rId15" o:title=""/>
                </v:shape>
                <o:OLEObject Type="Embed" ProgID="Equation.DSMT4" ShapeID="_x0000_i1038" DrawAspect="Content" ObjectID="_1446147106" r:id="rId21"/>
              </w:object>
            </w:r>
          </w:p>
        </w:tc>
      </w:tr>
      <w:tr w:rsidR="005D4D22" w:rsidRPr="00BF1D5C" w:rsidTr="009A2F4D">
        <w:tblPrEx>
          <w:tblCellMar>
            <w:top w:w="0" w:type="dxa"/>
            <w:bottom w:w="0" w:type="dxa"/>
          </w:tblCellMar>
        </w:tblPrEx>
        <w:trPr>
          <w:cantSplit/>
        </w:trPr>
        <w:tc>
          <w:tcPr>
            <w:tcW w:w="1856" w:type="dxa"/>
          </w:tcPr>
          <w:p w:rsidR="005D4D22" w:rsidRPr="00BF1D5C" w:rsidRDefault="005D4D22" w:rsidP="009A2F4D">
            <w:pPr>
              <w:tabs>
                <w:tab w:val="left" w:pos="0"/>
              </w:tabs>
              <w:spacing w:line="360" w:lineRule="atLeast"/>
            </w:pPr>
            <w:r w:rsidRPr="00BF1D5C">
              <w:t>Write call ($40)</w:t>
            </w:r>
          </w:p>
        </w:tc>
        <w:tc>
          <w:tcPr>
            <w:tcW w:w="1857" w:type="dxa"/>
          </w:tcPr>
          <w:p w:rsidR="005D4D22" w:rsidRPr="00BF1D5C" w:rsidRDefault="005D4D22" w:rsidP="009A2F4D">
            <w:pPr>
              <w:tabs>
                <w:tab w:val="left" w:pos="0"/>
              </w:tabs>
              <w:spacing w:line="360" w:lineRule="atLeast"/>
              <w:jc w:val="center"/>
            </w:pPr>
            <w:r w:rsidRPr="00BF1D5C">
              <w:t>0</w:t>
            </w:r>
          </w:p>
        </w:tc>
        <w:tc>
          <w:tcPr>
            <w:tcW w:w="1857" w:type="dxa"/>
          </w:tcPr>
          <w:p w:rsidR="005D4D22" w:rsidRPr="00BF1D5C" w:rsidRDefault="005D4D22" w:rsidP="009A2F4D">
            <w:pPr>
              <w:tabs>
                <w:tab w:val="left" w:pos="0"/>
              </w:tabs>
              <w:spacing w:line="360" w:lineRule="atLeast"/>
              <w:ind w:left="-13" w:firstLine="13"/>
              <w:jc w:val="center"/>
            </w:pPr>
            <w:r w:rsidRPr="00BF1D5C">
              <w:t>0</w:t>
            </w:r>
          </w:p>
        </w:tc>
        <w:tc>
          <w:tcPr>
            <w:tcW w:w="1857" w:type="dxa"/>
          </w:tcPr>
          <w:p w:rsidR="005D4D22" w:rsidRPr="00BF1D5C" w:rsidRDefault="005D4D22" w:rsidP="009A2F4D">
            <w:pPr>
              <w:tabs>
                <w:tab w:val="left" w:pos="0"/>
              </w:tabs>
              <w:spacing w:line="360" w:lineRule="atLeast"/>
              <w:ind w:left="20"/>
              <w:jc w:val="center"/>
            </w:pPr>
            <w:r w:rsidRPr="00BF1D5C">
              <w:t xml:space="preserve">40 - </w:t>
            </w:r>
            <w:r w:rsidRPr="00BF1D5C">
              <w:rPr>
                <w:position w:val="-12"/>
              </w:rPr>
              <w:object w:dxaOrig="300" w:dyaOrig="360">
                <v:shape id="_x0000_i1039" type="#_x0000_t75" style="width:15pt;height:18pt" o:ole="">
                  <v:imagedata r:id="rId15" o:title=""/>
                </v:shape>
                <o:OLEObject Type="Embed" ProgID="Equation.DSMT4" ShapeID="_x0000_i1039" DrawAspect="Content" ObjectID="_1446147107" r:id="rId22"/>
              </w:object>
            </w:r>
          </w:p>
        </w:tc>
      </w:tr>
      <w:tr w:rsidR="005D4D22" w:rsidRPr="00BF1D5C" w:rsidTr="009A2F4D">
        <w:tblPrEx>
          <w:tblCellMar>
            <w:top w:w="0" w:type="dxa"/>
            <w:bottom w:w="0" w:type="dxa"/>
          </w:tblCellMar>
        </w:tblPrEx>
        <w:trPr>
          <w:cantSplit/>
          <w:trHeight w:hRule="exact" w:val="400"/>
        </w:trPr>
        <w:tc>
          <w:tcPr>
            <w:tcW w:w="1856" w:type="dxa"/>
          </w:tcPr>
          <w:p w:rsidR="005D4D22" w:rsidRPr="00BF1D5C" w:rsidRDefault="005D4D22" w:rsidP="009A2F4D">
            <w:pPr>
              <w:tabs>
                <w:tab w:val="left" w:pos="0"/>
              </w:tabs>
              <w:spacing w:line="360" w:lineRule="atLeast"/>
            </w:pPr>
            <w:r w:rsidRPr="00BF1D5C">
              <w:t>Buy put ($35)</w:t>
            </w:r>
          </w:p>
        </w:tc>
        <w:tc>
          <w:tcPr>
            <w:tcW w:w="1857" w:type="dxa"/>
          </w:tcPr>
          <w:p w:rsidR="005D4D22" w:rsidRPr="00BF1D5C" w:rsidRDefault="005D4D22" w:rsidP="009A2F4D">
            <w:pPr>
              <w:tabs>
                <w:tab w:val="left" w:pos="0"/>
              </w:tabs>
              <w:spacing w:line="360" w:lineRule="atLeast"/>
              <w:jc w:val="center"/>
            </w:pPr>
            <w:r w:rsidRPr="00BF1D5C">
              <w:t>35-</w:t>
            </w:r>
            <w:r w:rsidRPr="00BF1D5C">
              <w:rPr>
                <w:position w:val="-12"/>
              </w:rPr>
              <w:object w:dxaOrig="300" w:dyaOrig="360">
                <v:shape id="_x0000_i1040" type="#_x0000_t75" style="width:15pt;height:18pt" o:ole="">
                  <v:imagedata r:id="rId15" o:title=""/>
                </v:shape>
                <o:OLEObject Type="Embed" ProgID="Equation.DSMT4" ShapeID="_x0000_i1040" DrawAspect="Content" ObjectID="_1446147108" r:id="rId23"/>
              </w:object>
            </w:r>
          </w:p>
        </w:tc>
        <w:tc>
          <w:tcPr>
            <w:tcW w:w="1857" w:type="dxa"/>
          </w:tcPr>
          <w:p w:rsidR="005D4D22" w:rsidRPr="00BF1D5C" w:rsidRDefault="005D4D22" w:rsidP="009A2F4D">
            <w:pPr>
              <w:tabs>
                <w:tab w:val="left" w:pos="0"/>
              </w:tabs>
              <w:spacing w:line="360" w:lineRule="atLeast"/>
              <w:ind w:left="-13" w:firstLine="13"/>
              <w:jc w:val="center"/>
            </w:pPr>
            <w:r w:rsidRPr="00BF1D5C">
              <w:t>0</w:t>
            </w:r>
          </w:p>
        </w:tc>
        <w:tc>
          <w:tcPr>
            <w:tcW w:w="1857" w:type="dxa"/>
          </w:tcPr>
          <w:p w:rsidR="005D4D22" w:rsidRPr="00BF1D5C" w:rsidRDefault="005D4D22" w:rsidP="009A2F4D">
            <w:pPr>
              <w:tabs>
                <w:tab w:val="left" w:pos="0"/>
              </w:tabs>
              <w:spacing w:line="360" w:lineRule="atLeast"/>
              <w:ind w:left="20"/>
              <w:jc w:val="center"/>
            </w:pPr>
            <w:r w:rsidRPr="00BF1D5C">
              <w:t>0</w:t>
            </w:r>
          </w:p>
        </w:tc>
      </w:tr>
      <w:tr w:rsidR="005D4D22" w:rsidRPr="00BF1D5C" w:rsidTr="009A2F4D">
        <w:tblPrEx>
          <w:tblCellMar>
            <w:top w:w="0" w:type="dxa"/>
            <w:bottom w:w="0" w:type="dxa"/>
          </w:tblCellMar>
        </w:tblPrEx>
        <w:trPr>
          <w:cantSplit/>
        </w:trPr>
        <w:tc>
          <w:tcPr>
            <w:tcW w:w="1856" w:type="dxa"/>
            <w:tcBorders>
              <w:top w:val="single" w:sz="6" w:space="0" w:color="auto"/>
            </w:tcBorders>
          </w:tcPr>
          <w:p w:rsidR="005D4D22" w:rsidRPr="00BF1D5C" w:rsidRDefault="005D4D22" w:rsidP="009A2F4D">
            <w:pPr>
              <w:tabs>
                <w:tab w:val="left" w:pos="0"/>
              </w:tabs>
              <w:spacing w:line="360" w:lineRule="atLeast"/>
            </w:pPr>
            <w:r w:rsidRPr="00BF1D5C">
              <w:t>Total</w:t>
            </w:r>
          </w:p>
        </w:tc>
        <w:tc>
          <w:tcPr>
            <w:tcW w:w="1857" w:type="dxa"/>
            <w:tcBorders>
              <w:top w:val="single" w:sz="6" w:space="0" w:color="auto"/>
            </w:tcBorders>
          </w:tcPr>
          <w:p w:rsidR="005D4D22" w:rsidRPr="00BF1D5C" w:rsidRDefault="005D4D22" w:rsidP="009A2F4D">
            <w:pPr>
              <w:tabs>
                <w:tab w:val="left" w:pos="0"/>
              </w:tabs>
              <w:spacing w:line="360" w:lineRule="atLeast"/>
              <w:jc w:val="center"/>
            </w:pPr>
            <w:r w:rsidRPr="00BF1D5C">
              <w:t>$35</w:t>
            </w:r>
          </w:p>
        </w:tc>
        <w:tc>
          <w:tcPr>
            <w:tcW w:w="1857" w:type="dxa"/>
            <w:tcBorders>
              <w:top w:val="single" w:sz="6" w:space="0" w:color="auto"/>
            </w:tcBorders>
          </w:tcPr>
          <w:p w:rsidR="005D4D22" w:rsidRPr="00BF1D5C" w:rsidRDefault="005D4D22" w:rsidP="009A2F4D">
            <w:pPr>
              <w:tabs>
                <w:tab w:val="left" w:pos="0"/>
              </w:tabs>
              <w:spacing w:line="360" w:lineRule="atLeast"/>
              <w:ind w:left="-13" w:firstLine="13"/>
              <w:jc w:val="center"/>
            </w:pPr>
            <w:r w:rsidRPr="00BF1D5C">
              <w:rPr>
                <w:position w:val="-12"/>
              </w:rPr>
              <w:object w:dxaOrig="300" w:dyaOrig="360">
                <v:shape id="_x0000_i1041" type="#_x0000_t75" style="width:15pt;height:18pt" o:ole="">
                  <v:imagedata r:id="rId15" o:title=""/>
                </v:shape>
                <o:OLEObject Type="Embed" ProgID="Equation.DSMT4" ShapeID="_x0000_i1041" DrawAspect="Content" ObjectID="_1446147109" r:id="rId24"/>
              </w:object>
            </w:r>
          </w:p>
        </w:tc>
        <w:tc>
          <w:tcPr>
            <w:tcW w:w="1857" w:type="dxa"/>
            <w:tcBorders>
              <w:top w:val="single" w:sz="6" w:space="0" w:color="auto"/>
            </w:tcBorders>
          </w:tcPr>
          <w:p w:rsidR="005D4D22" w:rsidRPr="00BF1D5C" w:rsidRDefault="005D4D22" w:rsidP="009A2F4D">
            <w:pPr>
              <w:tabs>
                <w:tab w:val="left" w:pos="0"/>
              </w:tabs>
              <w:spacing w:line="360" w:lineRule="atLeast"/>
              <w:ind w:left="20"/>
              <w:jc w:val="center"/>
            </w:pPr>
            <w:r w:rsidRPr="00BF1D5C">
              <w:t>$40</w:t>
            </w:r>
          </w:p>
        </w:tc>
      </w:tr>
    </w:tbl>
    <w:p w:rsidR="005D4D22" w:rsidRPr="00BF1D5C" w:rsidRDefault="005D4D22" w:rsidP="005D4D22">
      <w:pPr>
        <w:tabs>
          <w:tab w:val="left" w:pos="0"/>
        </w:tabs>
        <w:spacing w:line="240" w:lineRule="auto"/>
      </w:pPr>
    </w:p>
    <w:p w:rsidR="005D4D22" w:rsidRPr="00BF1D5C" w:rsidRDefault="005D4D22" w:rsidP="005D4D22">
      <w:pPr>
        <w:pStyle w:val="Footer"/>
        <w:tabs>
          <w:tab w:val="clear" w:pos="4320"/>
          <w:tab w:val="clear" w:pos="8640"/>
          <w:tab w:val="left" w:pos="0"/>
        </w:tabs>
        <w:spacing w:line="240" w:lineRule="auto"/>
        <w:ind w:left="540" w:hanging="540"/>
        <w:rPr>
          <w:rFonts w:asciiTheme="minorHAnsi" w:hAnsiTheme="minorHAnsi"/>
          <w:sz w:val="22"/>
          <w:szCs w:val="22"/>
        </w:rPr>
      </w:pPr>
      <w:r w:rsidRPr="00BF1D5C">
        <w:rPr>
          <w:rFonts w:asciiTheme="minorHAnsi" w:hAnsiTheme="minorHAnsi"/>
          <w:sz w:val="22"/>
          <w:szCs w:val="22"/>
        </w:rPr>
        <w:tab/>
      </w:r>
      <w:bookmarkStart w:id="0" w:name="_MON_1333683472"/>
      <w:bookmarkEnd w:id="0"/>
      <w:r w:rsidRPr="00BF1D5C">
        <w:rPr>
          <w:rFonts w:asciiTheme="minorHAnsi" w:hAnsiTheme="minorHAnsi"/>
          <w:sz w:val="22"/>
          <w:szCs w:val="22"/>
        </w:rPr>
        <w:object w:dxaOrig="6031" w:dyaOrig="2821">
          <v:shape id="_x0000_i1042" type="#_x0000_t75" style="width:301.5pt;height:141pt" o:ole="" fillcolor="window">
            <v:imagedata r:id="rId25" o:title=""/>
          </v:shape>
          <o:OLEObject Type="Embed" ProgID="Word.Picture.8" ShapeID="_x0000_i1042" DrawAspect="Content" ObjectID="_1446147110" r:id="rId26"/>
        </w:object>
      </w:r>
    </w:p>
    <w:p w:rsidR="005D4D22" w:rsidRPr="00BF1D5C" w:rsidRDefault="005D4D22" w:rsidP="005D4D22">
      <w:pPr>
        <w:tabs>
          <w:tab w:val="left" w:pos="0"/>
        </w:tabs>
        <w:spacing w:line="240" w:lineRule="auto"/>
        <w:ind w:left="540" w:hanging="540"/>
      </w:pPr>
      <w:r w:rsidRPr="00BF1D5C">
        <w:t>13.</w:t>
      </w:r>
      <w:r w:rsidRPr="00BF1D5C">
        <w:tab/>
      </w:r>
      <w:proofErr w:type="gramStart"/>
      <w:r w:rsidRPr="00BF1D5C">
        <w:t>a</w:t>
      </w:r>
      <w:proofErr w:type="gramEnd"/>
      <w:r w:rsidRPr="00BF1D5C">
        <w:t>.</w:t>
      </w:r>
    </w:p>
    <w:tbl>
      <w:tblPr>
        <w:tblW w:w="8540" w:type="dxa"/>
        <w:tblInd w:w="555" w:type="dxa"/>
        <w:tblLayout w:type="fixed"/>
        <w:tblCellMar>
          <w:left w:w="80" w:type="dxa"/>
          <w:right w:w="80" w:type="dxa"/>
        </w:tblCellMar>
        <w:tblLook w:val="0000"/>
      </w:tblPr>
      <w:tblGrid>
        <w:gridCol w:w="1880"/>
        <w:gridCol w:w="990"/>
        <w:gridCol w:w="1530"/>
        <w:gridCol w:w="1620"/>
        <w:gridCol w:w="2520"/>
      </w:tblGrid>
      <w:tr w:rsidR="005D4D22" w:rsidRPr="00BF1D5C" w:rsidTr="009A2F4D">
        <w:tblPrEx>
          <w:tblCellMar>
            <w:top w:w="0" w:type="dxa"/>
            <w:bottom w:w="0" w:type="dxa"/>
          </w:tblCellMar>
        </w:tblPrEx>
        <w:trPr>
          <w:cantSplit/>
          <w:trHeight w:hRule="exact" w:val="400"/>
        </w:trPr>
        <w:tc>
          <w:tcPr>
            <w:tcW w:w="1880" w:type="dxa"/>
            <w:tcBorders>
              <w:bottom w:val="single" w:sz="6" w:space="0" w:color="auto"/>
            </w:tcBorders>
          </w:tcPr>
          <w:p w:rsidR="005D4D22" w:rsidRPr="00BF1D5C" w:rsidRDefault="005D4D22" w:rsidP="009A2F4D">
            <w:pPr>
              <w:tabs>
                <w:tab w:val="left" w:pos="0"/>
              </w:tabs>
              <w:spacing w:line="360" w:lineRule="atLeast"/>
            </w:pPr>
            <w:r w:rsidRPr="00BF1D5C">
              <w:t>Position</w:t>
            </w:r>
          </w:p>
        </w:tc>
        <w:tc>
          <w:tcPr>
            <w:tcW w:w="990" w:type="dxa"/>
            <w:tcBorders>
              <w:bottom w:val="single" w:sz="6" w:space="0" w:color="auto"/>
            </w:tcBorders>
          </w:tcPr>
          <w:p w:rsidR="005D4D22" w:rsidRPr="00BF1D5C" w:rsidRDefault="005D4D22" w:rsidP="009A2F4D">
            <w:pPr>
              <w:tabs>
                <w:tab w:val="left" w:pos="0"/>
              </w:tabs>
              <w:spacing w:line="360" w:lineRule="atLeast"/>
              <w:jc w:val="center"/>
            </w:pPr>
            <w:r w:rsidRPr="00BF1D5C">
              <w:t>S</w:t>
            </w:r>
            <w:r w:rsidRPr="00BF1D5C">
              <w:rPr>
                <w:vertAlign w:val="subscript"/>
              </w:rPr>
              <w:t xml:space="preserve"> T</w:t>
            </w:r>
            <w:r w:rsidRPr="00BF1D5C">
              <w:t xml:space="preserve"> &lt; X</w:t>
            </w:r>
            <w:r w:rsidRPr="00BF1D5C">
              <w:rPr>
                <w:vertAlign w:val="subscript"/>
              </w:rPr>
              <w:t>1</w:t>
            </w:r>
          </w:p>
        </w:tc>
        <w:tc>
          <w:tcPr>
            <w:tcW w:w="1530" w:type="dxa"/>
            <w:tcBorders>
              <w:bottom w:val="single" w:sz="6" w:space="0" w:color="auto"/>
            </w:tcBorders>
          </w:tcPr>
          <w:p w:rsidR="005D4D22" w:rsidRPr="00BF1D5C" w:rsidRDefault="005D4D22" w:rsidP="009A2F4D">
            <w:pPr>
              <w:tabs>
                <w:tab w:val="left" w:pos="0"/>
              </w:tabs>
              <w:spacing w:line="360" w:lineRule="atLeast"/>
              <w:jc w:val="center"/>
            </w:pPr>
            <w:r w:rsidRPr="00BF1D5C">
              <w:t>X</w:t>
            </w:r>
            <w:r w:rsidRPr="00BF1D5C">
              <w:rPr>
                <w:vertAlign w:val="subscript"/>
              </w:rPr>
              <w:t>1</w:t>
            </w:r>
            <w:r w:rsidRPr="00BF1D5C">
              <w:t xml:space="preserve"> </w:t>
            </w:r>
            <w:r w:rsidRPr="00BF1D5C">
              <w:sym w:font="Symbol (AS)" w:char="F0A3"/>
            </w:r>
            <w:r w:rsidRPr="00BF1D5C">
              <w:t xml:space="preserve"> S</w:t>
            </w:r>
            <w:r w:rsidRPr="00BF1D5C">
              <w:rPr>
                <w:vertAlign w:val="subscript"/>
              </w:rPr>
              <w:t xml:space="preserve"> T</w:t>
            </w:r>
            <w:r w:rsidRPr="00BF1D5C">
              <w:t xml:space="preserve"> </w:t>
            </w:r>
            <w:r w:rsidRPr="00BF1D5C">
              <w:sym w:font="Symbol (AS)" w:char="F0A3"/>
            </w:r>
            <w:r w:rsidRPr="00BF1D5C">
              <w:t xml:space="preserve"> X</w:t>
            </w:r>
            <w:r w:rsidRPr="00BF1D5C">
              <w:rPr>
                <w:vertAlign w:val="subscript"/>
              </w:rPr>
              <w:t>2</w:t>
            </w:r>
          </w:p>
        </w:tc>
        <w:tc>
          <w:tcPr>
            <w:tcW w:w="1620" w:type="dxa"/>
            <w:tcBorders>
              <w:bottom w:val="single" w:sz="6" w:space="0" w:color="auto"/>
            </w:tcBorders>
          </w:tcPr>
          <w:p w:rsidR="005D4D22" w:rsidRPr="00BF1D5C" w:rsidRDefault="005D4D22" w:rsidP="009A2F4D">
            <w:pPr>
              <w:tabs>
                <w:tab w:val="left" w:pos="0"/>
              </w:tabs>
              <w:spacing w:line="360" w:lineRule="atLeast"/>
              <w:jc w:val="center"/>
            </w:pPr>
            <w:r w:rsidRPr="00BF1D5C">
              <w:t>X</w:t>
            </w:r>
            <w:r w:rsidRPr="00BF1D5C">
              <w:rPr>
                <w:vertAlign w:val="subscript"/>
              </w:rPr>
              <w:t>2</w:t>
            </w:r>
            <w:r w:rsidRPr="00BF1D5C">
              <w:t xml:space="preserve"> &lt; S</w:t>
            </w:r>
            <w:r w:rsidRPr="00BF1D5C">
              <w:rPr>
                <w:vertAlign w:val="subscript"/>
              </w:rPr>
              <w:t xml:space="preserve"> T</w:t>
            </w:r>
            <w:r w:rsidRPr="00BF1D5C">
              <w:t xml:space="preserve"> </w:t>
            </w:r>
            <w:r w:rsidRPr="00BF1D5C">
              <w:sym w:font="Symbol (AS)" w:char="F0A3"/>
            </w:r>
            <w:r w:rsidRPr="00BF1D5C">
              <w:t xml:space="preserve"> X</w:t>
            </w:r>
            <w:r w:rsidRPr="00BF1D5C">
              <w:rPr>
                <w:vertAlign w:val="subscript"/>
              </w:rPr>
              <w:t>3</w:t>
            </w:r>
          </w:p>
        </w:tc>
        <w:tc>
          <w:tcPr>
            <w:tcW w:w="2520" w:type="dxa"/>
            <w:tcBorders>
              <w:bottom w:val="single" w:sz="6" w:space="0" w:color="auto"/>
            </w:tcBorders>
          </w:tcPr>
          <w:p w:rsidR="005D4D22" w:rsidRPr="00BF1D5C" w:rsidRDefault="005D4D22" w:rsidP="009A2F4D">
            <w:pPr>
              <w:tabs>
                <w:tab w:val="left" w:pos="0"/>
              </w:tabs>
              <w:spacing w:line="360" w:lineRule="atLeast"/>
              <w:ind w:left="20" w:hanging="20"/>
              <w:jc w:val="center"/>
            </w:pPr>
            <w:r w:rsidRPr="00BF1D5C">
              <w:t>X</w:t>
            </w:r>
            <w:r w:rsidRPr="00BF1D5C">
              <w:rPr>
                <w:vertAlign w:val="subscript"/>
              </w:rPr>
              <w:t>3</w:t>
            </w:r>
            <w:r w:rsidRPr="00BF1D5C">
              <w:t xml:space="preserve"> &lt; S</w:t>
            </w:r>
            <w:r w:rsidRPr="00BF1D5C">
              <w:rPr>
                <w:vertAlign w:val="subscript"/>
              </w:rPr>
              <w:t xml:space="preserve"> T</w:t>
            </w:r>
            <w:r w:rsidRPr="00BF1D5C">
              <w:t xml:space="preserve"> </w:t>
            </w:r>
          </w:p>
        </w:tc>
      </w:tr>
      <w:tr w:rsidR="005D4D22" w:rsidRPr="00BF1D5C" w:rsidTr="009A2F4D">
        <w:tblPrEx>
          <w:tblCellMar>
            <w:top w:w="0" w:type="dxa"/>
            <w:bottom w:w="0" w:type="dxa"/>
          </w:tblCellMar>
        </w:tblPrEx>
        <w:trPr>
          <w:cantSplit/>
        </w:trPr>
        <w:tc>
          <w:tcPr>
            <w:tcW w:w="1880" w:type="dxa"/>
            <w:tcBorders>
              <w:top w:val="single" w:sz="6" w:space="0" w:color="auto"/>
            </w:tcBorders>
          </w:tcPr>
          <w:p w:rsidR="005D4D22" w:rsidRPr="00BF1D5C" w:rsidRDefault="005D4D22" w:rsidP="009A2F4D">
            <w:pPr>
              <w:tabs>
                <w:tab w:val="left" w:pos="0"/>
              </w:tabs>
              <w:spacing w:line="360" w:lineRule="atLeast"/>
            </w:pPr>
            <w:r w:rsidRPr="00BF1D5C">
              <w:t>Long call (X</w:t>
            </w:r>
            <w:r w:rsidRPr="00BF1D5C">
              <w:rPr>
                <w:position w:val="-4"/>
              </w:rPr>
              <w:t>1</w:t>
            </w:r>
            <w:r w:rsidRPr="00BF1D5C">
              <w:t>)</w:t>
            </w:r>
          </w:p>
        </w:tc>
        <w:tc>
          <w:tcPr>
            <w:tcW w:w="990" w:type="dxa"/>
            <w:tcBorders>
              <w:top w:val="single" w:sz="6" w:space="0" w:color="auto"/>
            </w:tcBorders>
          </w:tcPr>
          <w:p w:rsidR="005D4D22" w:rsidRPr="00BF1D5C" w:rsidRDefault="005D4D22" w:rsidP="009A2F4D">
            <w:pPr>
              <w:tabs>
                <w:tab w:val="left" w:pos="0"/>
              </w:tabs>
              <w:spacing w:line="360" w:lineRule="atLeast"/>
              <w:jc w:val="center"/>
            </w:pPr>
            <w:r w:rsidRPr="00BF1D5C">
              <w:t>0</w:t>
            </w:r>
          </w:p>
        </w:tc>
        <w:tc>
          <w:tcPr>
            <w:tcW w:w="1530" w:type="dxa"/>
            <w:tcBorders>
              <w:top w:val="single" w:sz="6" w:space="0" w:color="auto"/>
            </w:tcBorders>
          </w:tcPr>
          <w:p w:rsidR="005D4D22" w:rsidRPr="00BF1D5C" w:rsidRDefault="005D4D22" w:rsidP="009A2F4D">
            <w:pPr>
              <w:tabs>
                <w:tab w:val="left" w:pos="0"/>
              </w:tabs>
              <w:spacing w:line="360" w:lineRule="atLeast"/>
              <w:jc w:val="center"/>
            </w:pPr>
            <w:r w:rsidRPr="00BF1D5C">
              <w:t>S</w:t>
            </w:r>
            <w:r w:rsidRPr="00BF1D5C">
              <w:rPr>
                <w:vertAlign w:val="subscript"/>
              </w:rPr>
              <w:t xml:space="preserve"> T</w:t>
            </w:r>
            <w:r w:rsidRPr="00BF1D5C">
              <w:t xml:space="preserve"> – X</w:t>
            </w:r>
            <w:r w:rsidRPr="00BF1D5C">
              <w:rPr>
                <w:vertAlign w:val="subscript"/>
              </w:rPr>
              <w:t>1</w:t>
            </w:r>
          </w:p>
        </w:tc>
        <w:tc>
          <w:tcPr>
            <w:tcW w:w="1620" w:type="dxa"/>
            <w:tcBorders>
              <w:top w:val="single" w:sz="6" w:space="0" w:color="auto"/>
            </w:tcBorders>
          </w:tcPr>
          <w:p w:rsidR="005D4D22" w:rsidRPr="00BF1D5C" w:rsidRDefault="005D4D22" w:rsidP="009A2F4D">
            <w:pPr>
              <w:tabs>
                <w:tab w:val="left" w:pos="0"/>
              </w:tabs>
              <w:spacing w:line="360" w:lineRule="atLeast"/>
              <w:jc w:val="center"/>
            </w:pPr>
            <w:r w:rsidRPr="00BF1D5C">
              <w:t>S</w:t>
            </w:r>
            <w:r w:rsidRPr="00BF1D5C">
              <w:rPr>
                <w:vertAlign w:val="subscript"/>
              </w:rPr>
              <w:t xml:space="preserve"> T</w:t>
            </w:r>
            <w:r w:rsidRPr="00BF1D5C">
              <w:t xml:space="preserve"> – X</w:t>
            </w:r>
            <w:r w:rsidRPr="00BF1D5C">
              <w:rPr>
                <w:vertAlign w:val="subscript"/>
              </w:rPr>
              <w:t>1</w:t>
            </w:r>
          </w:p>
        </w:tc>
        <w:tc>
          <w:tcPr>
            <w:tcW w:w="2520" w:type="dxa"/>
            <w:tcBorders>
              <w:top w:val="single" w:sz="6" w:space="0" w:color="auto"/>
            </w:tcBorders>
          </w:tcPr>
          <w:p w:rsidR="005D4D22" w:rsidRPr="00BF1D5C" w:rsidRDefault="005D4D22" w:rsidP="009A2F4D">
            <w:pPr>
              <w:tabs>
                <w:tab w:val="left" w:pos="0"/>
              </w:tabs>
              <w:spacing w:line="360" w:lineRule="atLeast"/>
              <w:ind w:left="20" w:hanging="20"/>
              <w:jc w:val="center"/>
            </w:pPr>
            <w:r w:rsidRPr="00BF1D5C">
              <w:t>S</w:t>
            </w:r>
            <w:r w:rsidRPr="00BF1D5C">
              <w:rPr>
                <w:vertAlign w:val="subscript"/>
              </w:rPr>
              <w:t xml:space="preserve"> T</w:t>
            </w:r>
            <w:r w:rsidRPr="00BF1D5C">
              <w:t xml:space="preserve"> – X</w:t>
            </w:r>
            <w:r w:rsidRPr="00BF1D5C">
              <w:rPr>
                <w:vertAlign w:val="subscript"/>
              </w:rPr>
              <w:t>1</w:t>
            </w:r>
          </w:p>
        </w:tc>
      </w:tr>
      <w:tr w:rsidR="005D4D22" w:rsidRPr="00BF1D5C" w:rsidTr="009A2F4D">
        <w:tblPrEx>
          <w:tblCellMar>
            <w:top w:w="0" w:type="dxa"/>
            <w:bottom w:w="0" w:type="dxa"/>
          </w:tblCellMar>
        </w:tblPrEx>
        <w:trPr>
          <w:cantSplit/>
        </w:trPr>
        <w:tc>
          <w:tcPr>
            <w:tcW w:w="1880" w:type="dxa"/>
          </w:tcPr>
          <w:p w:rsidR="005D4D22" w:rsidRPr="00BF1D5C" w:rsidRDefault="005D4D22" w:rsidP="009A2F4D">
            <w:pPr>
              <w:tabs>
                <w:tab w:val="left" w:pos="0"/>
              </w:tabs>
              <w:spacing w:line="360" w:lineRule="atLeast"/>
              <w:ind w:right="12"/>
            </w:pPr>
            <w:r w:rsidRPr="00BF1D5C">
              <w:t>Short 2 calls (X</w:t>
            </w:r>
            <w:r w:rsidRPr="00BF1D5C">
              <w:rPr>
                <w:position w:val="-4"/>
              </w:rPr>
              <w:t>2</w:t>
            </w:r>
            <w:r w:rsidRPr="00BF1D5C">
              <w:t>)</w:t>
            </w:r>
          </w:p>
        </w:tc>
        <w:tc>
          <w:tcPr>
            <w:tcW w:w="990" w:type="dxa"/>
          </w:tcPr>
          <w:p w:rsidR="005D4D22" w:rsidRPr="00BF1D5C" w:rsidRDefault="005D4D22" w:rsidP="009A2F4D">
            <w:pPr>
              <w:tabs>
                <w:tab w:val="left" w:pos="0"/>
              </w:tabs>
              <w:spacing w:line="360" w:lineRule="atLeast"/>
              <w:jc w:val="center"/>
            </w:pPr>
            <w:r w:rsidRPr="00BF1D5C">
              <w:t>0</w:t>
            </w:r>
          </w:p>
        </w:tc>
        <w:tc>
          <w:tcPr>
            <w:tcW w:w="1530" w:type="dxa"/>
          </w:tcPr>
          <w:p w:rsidR="005D4D22" w:rsidRPr="00BF1D5C" w:rsidRDefault="005D4D22" w:rsidP="009A2F4D">
            <w:pPr>
              <w:tabs>
                <w:tab w:val="left" w:pos="0"/>
              </w:tabs>
              <w:spacing w:line="360" w:lineRule="atLeast"/>
              <w:jc w:val="center"/>
            </w:pPr>
            <w:r w:rsidRPr="00BF1D5C">
              <w:t>0</w:t>
            </w:r>
          </w:p>
        </w:tc>
        <w:tc>
          <w:tcPr>
            <w:tcW w:w="1620" w:type="dxa"/>
          </w:tcPr>
          <w:p w:rsidR="005D4D22" w:rsidRPr="00BF1D5C" w:rsidRDefault="005D4D22" w:rsidP="009A2F4D">
            <w:pPr>
              <w:tabs>
                <w:tab w:val="left" w:pos="0"/>
              </w:tabs>
              <w:spacing w:line="360" w:lineRule="atLeast"/>
              <w:jc w:val="center"/>
            </w:pPr>
            <w:r w:rsidRPr="00BF1D5C">
              <w:t>–2(S</w:t>
            </w:r>
            <w:r w:rsidRPr="00BF1D5C">
              <w:rPr>
                <w:vertAlign w:val="subscript"/>
              </w:rPr>
              <w:t xml:space="preserve"> T</w:t>
            </w:r>
            <w:r w:rsidRPr="00BF1D5C">
              <w:t xml:space="preserve"> – X</w:t>
            </w:r>
            <w:r w:rsidRPr="00BF1D5C">
              <w:rPr>
                <w:vertAlign w:val="subscript"/>
              </w:rPr>
              <w:t>2</w:t>
            </w:r>
            <w:r w:rsidRPr="00BF1D5C">
              <w:t>)</w:t>
            </w:r>
          </w:p>
        </w:tc>
        <w:tc>
          <w:tcPr>
            <w:tcW w:w="2520" w:type="dxa"/>
          </w:tcPr>
          <w:p w:rsidR="005D4D22" w:rsidRPr="00BF1D5C" w:rsidRDefault="005D4D22" w:rsidP="009A2F4D">
            <w:pPr>
              <w:tabs>
                <w:tab w:val="left" w:pos="0"/>
              </w:tabs>
              <w:spacing w:line="360" w:lineRule="atLeast"/>
              <w:ind w:left="20" w:hanging="20"/>
              <w:jc w:val="center"/>
            </w:pPr>
            <w:r w:rsidRPr="00BF1D5C">
              <w:t>–2(S</w:t>
            </w:r>
            <w:r w:rsidRPr="00BF1D5C">
              <w:rPr>
                <w:vertAlign w:val="subscript"/>
              </w:rPr>
              <w:t xml:space="preserve"> T</w:t>
            </w:r>
            <w:r w:rsidRPr="00BF1D5C">
              <w:t xml:space="preserve"> – X</w:t>
            </w:r>
            <w:r w:rsidRPr="00BF1D5C">
              <w:rPr>
                <w:vertAlign w:val="subscript"/>
              </w:rPr>
              <w:t>2</w:t>
            </w:r>
            <w:r w:rsidRPr="00BF1D5C">
              <w:t>)</w:t>
            </w:r>
          </w:p>
        </w:tc>
      </w:tr>
      <w:tr w:rsidR="005D4D22" w:rsidRPr="00BF1D5C" w:rsidTr="009A2F4D">
        <w:tblPrEx>
          <w:tblCellMar>
            <w:top w:w="0" w:type="dxa"/>
            <w:bottom w:w="0" w:type="dxa"/>
          </w:tblCellMar>
        </w:tblPrEx>
        <w:trPr>
          <w:cantSplit/>
        </w:trPr>
        <w:tc>
          <w:tcPr>
            <w:tcW w:w="1880" w:type="dxa"/>
            <w:tcBorders>
              <w:bottom w:val="single" w:sz="6" w:space="0" w:color="auto"/>
            </w:tcBorders>
          </w:tcPr>
          <w:p w:rsidR="005D4D22" w:rsidRPr="00BF1D5C" w:rsidRDefault="005D4D22" w:rsidP="009A2F4D">
            <w:pPr>
              <w:tabs>
                <w:tab w:val="left" w:pos="0"/>
              </w:tabs>
              <w:spacing w:line="360" w:lineRule="atLeast"/>
              <w:ind w:right="-168"/>
            </w:pPr>
            <w:r w:rsidRPr="00BF1D5C">
              <w:t>Long call (X</w:t>
            </w:r>
            <w:r w:rsidRPr="00BF1D5C">
              <w:rPr>
                <w:position w:val="-4"/>
              </w:rPr>
              <w:t>3</w:t>
            </w:r>
            <w:r w:rsidRPr="00BF1D5C">
              <w:t>)</w:t>
            </w:r>
          </w:p>
        </w:tc>
        <w:tc>
          <w:tcPr>
            <w:tcW w:w="990" w:type="dxa"/>
            <w:tcBorders>
              <w:bottom w:val="single" w:sz="6" w:space="0" w:color="auto"/>
            </w:tcBorders>
          </w:tcPr>
          <w:p w:rsidR="005D4D22" w:rsidRPr="00BF1D5C" w:rsidRDefault="005D4D22" w:rsidP="009A2F4D">
            <w:pPr>
              <w:tabs>
                <w:tab w:val="left" w:pos="0"/>
              </w:tabs>
              <w:spacing w:line="360" w:lineRule="atLeast"/>
              <w:jc w:val="center"/>
            </w:pPr>
            <w:r w:rsidRPr="00BF1D5C">
              <w:t>0</w:t>
            </w:r>
          </w:p>
        </w:tc>
        <w:tc>
          <w:tcPr>
            <w:tcW w:w="1530" w:type="dxa"/>
            <w:tcBorders>
              <w:bottom w:val="single" w:sz="6" w:space="0" w:color="auto"/>
            </w:tcBorders>
          </w:tcPr>
          <w:p w:rsidR="005D4D22" w:rsidRPr="00BF1D5C" w:rsidRDefault="005D4D22" w:rsidP="009A2F4D">
            <w:pPr>
              <w:tabs>
                <w:tab w:val="left" w:pos="0"/>
              </w:tabs>
              <w:spacing w:line="360" w:lineRule="atLeast"/>
              <w:jc w:val="center"/>
            </w:pPr>
            <w:r w:rsidRPr="00BF1D5C">
              <w:t>0</w:t>
            </w:r>
          </w:p>
        </w:tc>
        <w:tc>
          <w:tcPr>
            <w:tcW w:w="1620" w:type="dxa"/>
            <w:tcBorders>
              <w:bottom w:val="single" w:sz="6" w:space="0" w:color="auto"/>
            </w:tcBorders>
          </w:tcPr>
          <w:p w:rsidR="005D4D22" w:rsidRPr="00BF1D5C" w:rsidRDefault="005D4D22" w:rsidP="009A2F4D">
            <w:pPr>
              <w:tabs>
                <w:tab w:val="left" w:pos="0"/>
              </w:tabs>
              <w:spacing w:line="360" w:lineRule="atLeast"/>
              <w:jc w:val="center"/>
            </w:pPr>
            <w:r w:rsidRPr="00BF1D5C">
              <w:t>0</w:t>
            </w:r>
          </w:p>
        </w:tc>
        <w:tc>
          <w:tcPr>
            <w:tcW w:w="2520" w:type="dxa"/>
            <w:tcBorders>
              <w:bottom w:val="single" w:sz="6" w:space="0" w:color="auto"/>
            </w:tcBorders>
          </w:tcPr>
          <w:p w:rsidR="005D4D22" w:rsidRPr="00BF1D5C" w:rsidRDefault="005D4D22" w:rsidP="009A2F4D">
            <w:pPr>
              <w:tabs>
                <w:tab w:val="left" w:pos="0"/>
              </w:tabs>
              <w:spacing w:line="360" w:lineRule="atLeast"/>
              <w:ind w:left="20" w:hanging="20"/>
              <w:jc w:val="center"/>
            </w:pPr>
            <w:r w:rsidRPr="00BF1D5C">
              <w:t>S</w:t>
            </w:r>
            <w:r w:rsidRPr="00BF1D5C">
              <w:rPr>
                <w:vertAlign w:val="subscript"/>
              </w:rPr>
              <w:t xml:space="preserve"> T</w:t>
            </w:r>
            <w:r w:rsidRPr="00BF1D5C">
              <w:t xml:space="preserve"> – X</w:t>
            </w:r>
            <w:r w:rsidRPr="00BF1D5C">
              <w:rPr>
                <w:vertAlign w:val="subscript"/>
              </w:rPr>
              <w:t>3</w:t>
            </w:r>
          </w:p>
        </w:tc>
      </w:tr>
      <w:tr w:rsidR="005D4D22" w:rsidRPr="00BF1D5C" w:rsidTr="009A2F4D">
        <w:tblPrEx>
          <w:tblCellMar>
            <w:top w:w="0" w:type="dxa"/>
            <w:bottom w:w="0" w:type="dxa"/>
          </w:tblCellMar>
        </w:tblPrEx>
        <w:trPr>
          <w:cantSplit/>
        </w:trPr>
        <w:tc>
          <w:tcPr>
            <w:tcW w:w="1880" w:type="dxa"/>
            <w:tcBorders>
              <w:top w:val="single" w:sz="6" w:space="0" w:color="auto"/>
            </w:tcBorders>
          </w:tcPr>
          <w:p w:rsidR="005D4D22" w:rsidRPr="00BF1D5C" w:rsidRDefault="005D4D22" w:rsidP="009A2F4D">
            <w:pPr>
              <w:tabs>
                <w:tab w:val="left" w:pos="0"/>
              </w:tabs>
              <w:spacing w:line="360" w:lineRule="atLeast"/>
            </w:pPr>
            <w:r w:rsidRPr="00BF1D5C">
              <w:t>Total</w:t>
            </w:r>
          </w:p>
        </w:tc>
        <w:tc>
          <w:tcPr>
            <w:tcW w:w="990" w:type="dxa"/>
            <w:tcBorders>
              <w:top w:val="single" w:sz="6" w:space="0" w:color="auto"/>
            </w:tcBorders>
          </w:tcPr>
          <w:p w:rsidR="005D4D22" w:rsidRPr="00BF1D5C" w:rsidRDefault="005D4D22" w:rsidP="009A2F4D">
            <w:pPr>
              <w:tabs>
                <w:tab w:val="left" w:pos="0"/>
              </w:tabs>
              <w:spacing w:line="360" w:lineRule="atLeast"/>
              <w:jc w:val="center"/>
            </w:pPr>
            <w:r w:rsidRPr="00BF1D5C">
              <w:t>0</w:t>
            </w:r>
          </w:p>
        </w:tc>
        <w:tc>
          <w:tcPr>
            <w:tcW w:w="1530" w:type="dxa"/>
            <w:tcBorders>
              <w:top w:val="single" w:sz="6" w:space="0" w:color="auto"/>
            </w:tcBorders>
          </w:tcPr>
          <w:p w:rsidR="005D4D22" w:rsidRPr="00BF1D5C" w:rsidRDefault="005D4D22" w:rsidP="009A2F4D">
            <w:pPr>
              <w:tabs>
                <w:tab w:val="left" w:pos="0"/>
              </w:tabs>
              <w:spacing w:line="360" w:lineRule="atLeast"/>
              <w:jc w:val="center"/>
            </w:pPr>
            <w:r w:rsidRPr="00BF1D5C">
              <w:t>S</w:t>
            </w:r>
            <w:r w:rsidRPr="00BF1D5C">
              <w:rPr>
                <w:vertAlign w:val="subscript"/>
              </w:rPr>
              <w:t xml:space="preserve"> T</w:t>
            </w:r>
            <w:r w:rsidRPr="00BF1D5C">
              <w:t xml:space="preserve"> – X</w:t>
            </w:r>
            <w:r w:rsidRPr="00BF1D5C">
              <w:rPr>
                <w:vertAlign w:val="subscript"/>
              </w:rPr>
              <w:t>1</w:t>
            </w:r>
          </w:p>
        </w:tc>
        <w:tc>
          <w:tcPr>
            <w:tcW w:w="1620" w:type="dxa"/>
            <w:tcBorders>
              <w:top w:val="single" w:sz="6" w:space="0" w:color="auto"/>
            </w:tcBorders>
          </w:tcPr>
          <w:p w:rsidR="005D4D22" w:rsidRPr="00BF1D5C" w:rsidRDefault="005D4D22" w:rsidP="009A2F4D">
            <w:pPr>
              <w:tabs>
                <w:tab w:val="left" w:pos="0"/>
              </w:tabs>
              <w:spacing w:line="360" w:lineRule="atLeast"/>
              <w:jc w:val="center"/>
            </w:pPr>
            <w:r w:rsidRPr="00BF1D5C">
              <w:t>2X</w:t>
            </w:r>
            <w:r w:rsidRPr="00BF1D5C">
              <w:rPr>
                <w:vertAlign w:val="subscript"/>
              </w:rPr>
              <w:t>2</w:t>
            </w:r>
            <w:r w:rsidRPr="00BF1D5C">
              <w:t xml:space="preserve"> – X</w:t>
            </w:r>
            <w:r w:rsidRPr="00BF1D5C">
              <w:rPr>
                <w:vertAlign w:val="subscript"/>
              </w:rPr>
              <w:t>1</w:t>
            </w:r>
            <w:r w:rsidRPr="00BF1D5C">
              <w:t xml:space="preserve"> – S</w:t>
            </w:r>
            <w:r w:rsidRPr="00BF1D5C">
              <w:rPr>
                <w:vertAlign w:val="subscript"/>
              </w:rPr>
              <w:t xml:space="preserve"> T</w:t>
            </w:r>
            <w:r w:rsidRPr="00BF1D5C">
              <w:t xml:space="preserve"> </w:t>
            </w:r>
          </w:p>
        </w:tc>
        <w:tc>
          <w:tcPr>
            <w:tcW w:w="2520" w:type="dxa"/>
            <w:tcBorders>
              <w:top w:val="single" w:sz="6" w:space="0" w:color="auto"/>
            </w:tcBorders>
          </w:tcPr>
          <w:p w:rsidR="005D4D22" w:rsidRPr="00BF1D5C" w:rsidRDefault="005D4D22" w:rsidP="009A2F4D">
            <w:pPr>
              <w:tabs>
                <w:tab w:val="left" w:pos="0"/>
              </w:tabs>
              <w:spacing w:line="360" w:lineRule="atLeast"/>
              <w:ind w:left="20" w:hanging="20"/>
              <w:jc w:val="center"/>
            </w:pPr>
            <w:r w:rsidRPr="00BF1D5C">
              <w:t>(X</w:t>
            </w:r>
            <w:r w:rsidRPr="00BF1D5C">
              <w:rPr>
                <w:vertAlign w:val="subscript"/>
              </w:rPr>
              <w:t>2</w:t>
            </w:r>
            <w:r w:rsidRPr="00BF1D5C">
              <w:t xml:space="preserve"> –X</w:t>
            </w:r>
            <w:r w:rsidRPr="00BF1D5C">
              <w:rPr>
                <w:vertAlign w:val="subscript"/>
              </w:rPr>
              <w:t>1</w:t>
            </w:r>
            <w:r w:rsidRPr="00BF1D5C">
              <w:t>) – (X</w:t>
            </w:r>
            <w:r w:rsidRPr="00BF1D5C">
              <w:rPr>
                <w:vertAlign w:val="subscript"/>
              </w:rPr>
              <w:t>3</w:t>
            </w:r>
            <w:r w:rsidRPr="00BF1D5C">
              <w:t xml:space="preserve"> –X</w:t>
            </w:r>
            <w:r w:rsidRPr="00BF1D5C">
              <w:rPr>
                <w:vertAlign w:val="subscript"/>
              </w:rPr>
              <w:t>2</w:t>
            </w:r>
            <w:r w:rsidRPr="00BF1D5C">
              <w:t>) = 0</w:t>
            </w:r>
          </w:p>
        </w:tc>
      </w:tr>
    </w:tbl>
    <w:p w:rsidR="005D4D22" w:rsidRPr="00BF1D5C" w:rsidRDefault="005D4D22" w:rsidP="005D4D22">
      <w:pPr>
        <w:tabs>
          <w:tab w:val="left" w:pos="0"/>
        </w:tabs>
        <w:spacing w:line="240" w:lineRule="auto"/>
      </w:pPr>
    </w:p>
    <w:p w:rsidR="004C11D2" w:rsidRPr="00BF1D5C" w:rsidRDefault="004C11D2" w:rsidP="004C11D2"/>
    <w:p w:rsidR="004C11D2" w:rsidRPr="00BF1D5C" w:rsidRDefault="004C11D2" w:rsidP="004C11D2">
      <w:pPr>
        <w:tabs>
          <w:tab w:val="left" w:pos="0"/>
        </w:tabs>
        <w:spacing w:line="220" w:lineRule="exact"/>
      </w:pPr>
    </w:p>
    <w:p w:rsidR="004C11D2" w:rsidRPr="00BF1D5C" w:rsidRDefault="004C11D2" w:rsidP="004C11D2">
      <w:pPr>
        <w:tabs>
          <w:tab w:val="left" w:pos="0"/>
        </w:tabs>
        <w:spacing w:line="240" w:lineRule="auto"/>
        <w:ind w:left="720" w:hanging="720"/>
      </w:pPr>
      <w:r w:rsidRPr="00BF1D5C">
        <w:lastRenderedPageBreak/>
        <w:tab/>
      </w:r>
      <w:r w:rsidRPr="00BF1D5C">
        <w:object w:dxaOrig="6740" w:dyaOrig="3080">
          <v:shape id="_x0000_i1028" type="#_x0000_t75" style="width:336.75pt;height:153.75pt" o:ole="">
            <v:imagedata r:id="rId27" o:title=""/>
          </v:shape>
          <o:OLEObject Type="Embed" ProgID="Word.Picture.8" ShapeID="_x0000_i1028" DrawAspect="Content" ObjectID="_1446147111" r:id="rId28"/>
        </w:object>
      </w:r>
    </w:p>
    <w:p w:rsidR="004C11D2" w:rsidRPr="00BF1D5C" w:rsidRDefault="004C11D2" w:rsidP="004C11D2">
      <w:pPr>
        <w:tabs>
          <w:tab w:val="left" w:pos="0"/>
        </w:tabs>
        <w:spacing w:line="240" w:lineRule="auto"/>
        <w:ind w:left="540"/>
      </w:pPr>
    </w:p>
    <w:p w:rsidR="004C11D2" w:rsidRPr="00BF1D5C" w:rsidRDefault="004C11D2" w:rsidP="004C11D2">
      <w:pPr>
        <w:tabs>
          <w:tab w:val="left" w:pos="0"/>
        </w:tabs>
        <w:spacing w:line="240" w:lineRule="auto"/>
        <w:ind w:left="540"/>
      </w:pPr>
      <w:proofErr w:type="gramStart"/>
      <w:r w:rsidRPr="00BF1D5C">
        <w:t>b</w:t>
      </w:r>
      <w:proofErr w:type="gramEnd"/>
      <w:r w:rsidRPr="00BF1D5C">
        <w:t>.</w:t>
      </w:r>
    </w:p>
    <w:tbl>
      <w:tblPr>
        <w:tblW w:w="0" w:type="auto"/>
        <w:tblInd w:w="1160" w:type="dxa"/>
        <w:tblLayout w:type="fixed"/>
        <w:tblCellMar>
          <w:left w:w="80" w:type="dxa"/>
          <w:right w:w="80" w:type="dxa"/>
        </w:tblCellMar>
        <w:tblLook w:val="0000"/>
      </w:tblPr>
      <w:tblGrid>
        <w:gridCol w:w="1856"/>
        <w:gridCol w:w="1857"/>
        <w:gridCol w:w="1857"/>
        <w:gridCol w:w="1857"/>
      </w:tblGrid>
      <w:tr w:rsidR="004C11D2" w:rsidRPr="00BF1D5C" w:rsidTr="009A2F4D">
        <w:tblPrEx>
          <w:tblCellMar>
            <w:top w:w="0" w:type="dxa"/>
            <w:bottom w:w="0" w:type="dxa"/>
          </w:tblCellMar>
        </w:tblPrEx>
        <w:trPr>
          <w:cantSplit/>
          <w:trHeight w:hRule="exact" w:val="400"/>
        </w:trPr>
        <w:tc>
          <w:tcPr>
            <w:tcW w:w="1856" w:type="dxa"/>
            <w:tcBorders>
              <w:bottom w:val="single" w:sz="6" w:space="0" w:color="auto"/>
            </w:tcBorders>
          </w:tcPr>
          <w:p w:rsidR="004C11D2" w:rsidRPr="00BF1D5C" w:rsidRDefault="004C11D2" w:rsidP="009A2F4D">
            <w:pPr>
              <w:tabs>
                <w:tab w:val="left" w:pos="0"/>
              </w:tabs>
              <w:spacing w:line="360" w:lineRule="atLeast"/>
            </w:pPr>
            <w:r w:rsidRPr="00BF1D5C">
              <w:t>Position</w:t>
            </w:r>
          </w:p>
        </w:tc>
        <w:tc>
          <w:tcPr>
            <w:tcW w:w="1857" w:type="dxa"/>
            <w:tcBorders>
              <w:bottom w:val="single" w:sz="6" w:space="0" w:color="auto"/>
            </w:tcBorders>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&lt; X</w:t>
            </w:r>
            <w:r w:rsidRPr="00BF1D5C">
              <w:rPr>
                <w:vertAlign w:val="subscript"/>
              </w:rPr>
              <w:t>1</w:t>
            </w:r>
          </w:p>
        </w:tc>
        <w:tc>
          <w:tcPr>
            <w:tcW w:w="1857" w:type="dxa"/>
            <w:tcBorders>
              <w:bottom w:val="single" w:sz="6" w:space="0" w:color="auto"/>
            </w:tcBorders>
          </w:tcPr>
          <w:p w:rsidR="004C11D2" w:rsidRPr="00BF1D5C" w:rsidRDefault="004C11D2" w:rsidP="009A2F4D">
            <w:pPr>
              <w:tabs>
                <w:tab w:val="left" w:pos="0"/>
              </w:tabs>
              <w:spacing w:line="360" w:lineRule="atLeast"/>
              <w:ind w:left="-13" w:firstLine="13"/>
              <w:jc w:val="center"/>
            </w:pPr>
            <w:r w:rsidRPr="00BF1D5C">
              <w:t>X</w:t>
            </w:r>
            <w:r w:rsidRPr="00BF1D5C">
              <w:rPr>
                <w:vertAlign w:val="subscript"/>
              </w:rPr>
              <w:t>1</w:t>
            </w:r>
            <w:r w:rsidRPr="00BF1D5C">
              <w:t xml:space="preserve"> </w:t>
            </w:r>
            <w:r w:rsidRPr="00BF1D5C">
              <w:sym w:font="Symbol (AS)" w:char="F0A3"/>
            </w:r>
            <w:r w:rsidRPr="00BF1D5C">
              <w:t xml:space="preserve"> S</w:t>
            </w:r>
            <w:r w:rsidRPr="00BF1D5C">
              <w:rPr>
                <w:vertAlign w:val="subscript"/>
              </w:rPr>
              <w:t xml:space="preserve"> T</w:t>
            </w:r>
            <w:r w:rsidRPr="00BF1D5C">
              <w:t xml:space="preserve"> </w:t>
            </w:r>
            <w:r w:rsidRPr="00BF1D5C">
              <w:sym w:font="Symbol (AS)" w:char="F0A3"/>
            </w:r>
            <w:r w:rsidRPr="00BF1D5C">
              <w:t xml:space="preserve"> X</w:t>
            </w:r>
            <w:r w:rsidRPr="00BF1D5C">
              <w:rPr>
                <w:vertAlign w:val="subscript"/>
              </w:rPr>
              <w:t>2</w:t>
            </w:r>
            <w:r w:rsidRPr="00BF1D5C">
              <w:t xml:space="preserve"> X</w:t>
            </w:r>
            <w:r w:rsidRPr="00BF1D5C">
              <w:rPr>
                <w:vertAlign w:val="subscript"/>
              </w:rPr>
              <w:t>2</w:t>
            </w:r>
            <w:r w:rsidRPr="00BF1D5C">
              <w:t>X</w:t>
            </w:r>
            <w:r w:rsidRPr="00BF1D5C">
              <w:rPr>
                <w:vertAlign w:val="subscript"/>
              </w:rPr>
              <w:t>2</w:t>
            </w:r>
            <w:r w:rsidRPr="00BF1D5C">
              <w:t>X</w:t>
            </w:r>
            <w:r w:rsidRPr="00BF1D5C">
              <w:sym w:font="Symbol (AS)" w:char="F0A3"/>
            </w:r>
            <w:r w:rsidRPr="00BF1D5C">
              <w:sym w:font="Symbol (AS)" w:char="F0A3"/>
            </w:r>
            <w:r w:rsidRPr="00BF1D5C">
              <w:sym w:font="Symbol (AS)" w:char="F0A3"/>
            </w:r>
            <w:r w:rsidRPr="00BF1D5C">
              <w:sym w:font="Symbol (AS)" w:char="F0A3"/>
            </w:r>
            <w:r w:rsidRPr="00BF1D5C">
              <w:sym w:font="Symbol (AS)" w:char="F0A3"/>
            </w:r>
            <w:r w:rsidRPr="00BF1D5C">
              <w:t>X</w:t>
            </w:r>
            <w:r w:rsidRPr="00BF1D5C">
              <w:rPr>
                <w:vertAlign w:val="subscript"/>
              </w:rPr>
              <w:t>2</w:t>
            </w:r>
            <w:r w:rsidRPr="00BF1D5C">
              <w:t>X</w:t>
            </w:r>
            <w:r w:rsidRPr="00BF1D5C">
              <w:rPr>
                <w:vertAlign w:val="subscript"/>
              </w:rPr>
              <w:t>2</w:t>
            </w:r>
            <w:r w:rsidRPr="00BF1D5C">
              <w:t>X</w:t>
            </w:r>
            <w:r w:rsidRPr="00BF1D5C">
              <w:rPr>
                <w:vertAlign w:val="subscript"/>
              </w:rPr>
              <w:t>2</w:t>
            </w:r>
            <w:r w:rsidRPr="00BF1D5C">
              <w:t>X</w:t>
            </w:r>
            <w:r w:rsidRPr="00BF1D5C">
              <w:rPr>
                <w:vertAlign w:val="subscript"/>
              </w:rPr>
              <w:t>2</w:t>
            </w:r>
            <w:r w:rsidRPr="00BF1D5C">
              <w:t>X</w:t>
            </w:r>
            <w:r w:rsidRPr="00BF1D5C">
              <w:rPr>
                <w:vertAlign w:val="subscript"/>
              </w:rPr>
              <w:t>2</w:t>
            </w:r>
          </w:p>
        </w:tc>
        <w:tc>
          <w:tcPr>
            <w:tcW w:w="1857" w:type="dxa"/>
            <w:tcBorders>
              <w:bottom w:val="single" w:sz="6" w:space="0" w:color="auto"/>
            </w:tcBorders>
          </w:tcPr>
          <w:p w:rsidR="004C11D2" w:rsidRPr="00BF1D5C" w:rsidRDefault="004C11D2" w:rsidP="009A2F4D">
            <w:pPr>
              <w:tabs>
                <w:tab w:val="left" w:pos="0"/>
              </w:tabs>
              <w:spacing w:line="360" w:lineRule="atLeast"/>
              <w:ind w:left="20"/>
              <w:jc w:val="center"/>
            </w:pPr>
            <w:r w:rsidRPr="00BF1D5C">
              <w:t>X</w:t>
            </w:r>
            <w:r w:rsidRPr="00BF1D5C">
              <w:rPr>
                <w:vertAlign w:val="subscript"/>
              </w:rPr>
              <w:t>2</w:t>
            </w:r>
            <w:r w:rsidRPr="00BF1D5C">
              <w:t xml:space="preserve"> &lt; S</w:t>
            </w:r>
            <w:r w:rsidRPr="00BF1D5C">
              <w:rPr>
                <w:vertAlign w:val="subscript"/>
              </w:rPr>
              <w:t xml:space="preserve"> T</w:t>
            </w:r>
          </w:p>
        </w:tc>
      </w:tr>
      <w:tr w:rsidR="004C11D2" w:rsidRPr="00BF1D5C" w:rsidTr="009A2F4D">
        <w:tblPrEx>
          <w:tblCellMar>
            <w:top w:w="0" w:type="dxa"/>
            <w:bottom w:w="0" w:type="dxa"/>
          </w:tblCellMar>
        </w:tblPrEx>
        <w:trPr>
          <w:cantSplit/>
        </w:trPr>
        <w:tc>
          <w:tcPr>
            <w:tcW w:w="1856" w:type="dxa"/>
            <w:tcBorders>
              <w:top w:val="single" w:sz="6" w:space="0" w:color="auto"/>
            </w:tcBorders>
          </w:tcPr>
          <w:p w:rsidR="004C11D2" w:rsidRPr="00BF1D5C" w:rsidRDefault="004C11D2" w:rsidP="009A2F4D">
            <w:pPr>
              <w:tabs>
                <w:tab w:val="left" w:pos="0"/>
              </w:tabs>
              <w:spacing w:line="360" w:lineRule="atLeast"/>
            </w:pPr>
            <w:r w:rsidRPr="00BF1D5C">
              <w:t>Buy call (X</w:t>
            </w:r>
            <w:r w:rsidRPr="00BF1D5C">
              <w:rPr>
                <w:vertAlign w:val="subscript"/>
              </w:rPr>
              <w:t>2</w:t>
            </w:r>
            <w:r w:rsidRPr="00BF1D5C">
              <w:t>)</w:t>
            </w:r>
          </w:p>
        </w:tc>
        <w:tc>
          <w:tcPr>
            <w:tcW w:w="1857" w:type="dxa"/>
            <w:tcBorders>
              <w:top w:val="single" w:sz="6" w:space="0" w:color="auto"/>
            </w:tcBorders>
          </w:tcPr>
          <w:p w:rsidR="004C11D2" w:rsidRPr="00BF1D5C" w:rsidRDefault="004C11D2" w:rsidP="009A2F4D">
            <w:pPr>
              <w:tabs>
                <w:tab w:val="left" w:pos="0"/>
              </w:tabs>
              <w:spacing w:line="360" w:lineRule="atLeast"/>
              <w:jc w:val="center"/>
            </w:pPr>
            <w:r w:rsidRPr="00BF1D5C">
              <w:t>0</w:t>
            </w:r>
          </w:p>
        </w:tc>
        <w:tc>
          <w:tcPr>
            <w:tcW w:w="1857" w:type="dxa"/>
            <w:tcBorders>
              <w:top w:val="single" w:sz="6" w:space="0" w:color="auto"/>
            </w:tcBorders>
          </w:tcPr>
          <w:p w:rsidR="004C11D2" w:rsidRPr="00BF1D5C" w:rsidRDefault="004C11D2" w:rsidP="009A2F4D">
            <w:pPr>
              <w:tabs>
                <w:tab w:val="left" w:pos="0"/>
              </w:tabs>
              <w:spacing w:line="360" w:lineRule="atLeast"/>
              <w:ind w:left="-13" w:firstLine="13"/>
              <w:jc w:val="center"/>
            </w:pPr>
            <w:r w:rsidRPr="00BF1D5C">
              <w:t>0</w:t>
            </w:r>
          </w:p>
        </w:tc>
        <w:tc>
          <w:tcPr>
            <w:tcW w:w="1857" w:type="dxa"/>
            <w:tcBorders>
              <w:top w:val="single" w:sz="6" w:space="0" w:color="auto"/>
            </w:tcBorders>
          </w:tcPr>
          <w:p w:rsidR="004C11D2" w:rsidRPr="00BF1D5C" w:rsidRDefault="004C11D2" w:rsidP="009A2F4D">
            <w:pPr>
              <w:tabs>
                <w:tab w:val="left" w:pos="0"/>
              </w:tabs>
              <w:spacing w:line="360" w:lineRule="atLeast"/>
              <w:ind w:left="20"/>
              <w:jc w:val="center"/>
            </w:pPr>
            <w:r w:rsidRPr="00BF1D5C">
              <w:t>S</w:t>
            </w:r>
            <w:r w:rsidRPr="00BF1D5C">
              <w:rPr>
                <w:vertAlign w:val="subscript"/>
              </w:rPr>
              <w:t xml:space="preserve"> T</w:t>
            </w:r>
            <w:r w:rsidRPr="00BF1D5C">
              <w:t xml:space="preserve"> – X</w:t>
            </w:r>
            <w:r w:rsidRPr="00BF1D5C">
              <w:rPr>
                <w:vertAlign w:val="subscript"/>
              </w:rPr>
              <w:t>2</w:t>
            </w:r>
          </w:p>
        </w:tc>
      </w:tr>
      <w:tr w:rsidR="004C11D2" w:rsidRPr="00BF1D5C" w:rsidTr="009A2F4D">
        <w:tblPrEx>
          <w:tblCellMar>
            <w:top w:w="0" w:type="dxa"/>
            <w:bottom w:w="0" w:type="dxa"/>
          </w:tblCellMar>
        </w:tblPrEx>
        <w:trPr>
          <w:cantSplit/>
          <w:trHeight w:hRule="exact" w:val="400"/>
        </w:trPr>
        <w:tc>
          <w:tcPr>
            <w:tcW w:w="1856" w:type="dxa"/>
          </w:tcPr>
          <w:p w:rsidR="004C11D2" w:rsidRPr="00BF1D5C" w:rsidRDefault="004C11D2" w:rsidP="009A2F4D">
            <w:pPr>
              <w:tabs>
                <w:tab w:val="left" w:pos="0"/>
              </w:tabs>
              <w:spacing w:line="360" w:lineRule="atLeast"/>
            </w:pPr>
            <w:r w:rsidRPr="00BF1D5C">
              <w:t>Buy put (X</w:t>
            </w:r>
            <w:r w:rsidRPr="00BF1D5C">
              <w:rPr>
                <w:vertAlign w:val="subscript"/>
              </w:rPr>
              <w:t>1</w:t>
            </w:r>
            <w:r w:rsidRPr="00BF1D5C">
              <w:t>)</w:t>
            </w:r>
          </w:p>
        </w:tc>
        <w:tc>
          <w:tcPr>
            <w:tcW w:w="1857" w:type="dxa"/>
          </w:tcPr>
          <w:p w:rsidR="004C11D2" w:rsidRPr="00BF1D5C" w:rsidRDefault="004C11D2" w:rsidP="009A2F4D">
            <w:pPr>
              <w:tabs>
                <w:tab w:val="left" w:pos="0"/>
              </w:tabs>
              <w:spacing w:line="360" w:lineRule="atLeast"/>
              <w:jc w:val="center"/>
            </w:pPr>
            <w:r w:rsidRPr="00BF1D5C">
              <w:t>X</w:t>
            </w:r>
            <w:r w:rsidRPr="00BF1D5C">
              <w:rPr>
                <w:vertAlign w:val="subscript"/>
              </w:rPr>
              <w:t>1</w:t>
            </w:r>
            <w:r w:rsidRPr="00BF1D5C">
              <w:t xml:space="preserve"> – S</w:t>
            </w:r>
            <w:r w:rsidRPr="00BF1D5C">
              <w:rPr>
                <w:vertAlign w:val="subscript"/>
              </w:rPr>
              <w:t xml:space="preserve"> T</w:t>
            </w:r>
            <w:r w:rsidRPr="00BF1D5C">
              <w:t xml:space="preserve"> </w:t>
            </w:r>
          </w:p>
        </w:tc>
        <w:tc>
          <w:tcPr>
            <w:tcW w:w="1857" w:type="dxa"/>
          </w:tcPr>
          <w:p w:rsidR="004C11D2" w:rsidRPr="00BF1D5C" w:rsidRDefault="004C11D2" w:rsidP="009A2F4D">
            <w:pPr>
              <w:tabs>
                <w:tab w:val="left" w:pos="0"/>
              </w:tabs>
              <w:spacing w:line="360" w:lineRule="atLeast"/>
              <w:ind w:left="-13" w:firstLine="13"/>
              <w:jc w:val="center"/>
            </w:pPr>
            <w:r w:rsidRPr="00BF1D5C">
              <w:t>0</w:t>
            </w:r>
          </w:p>
        </w:tc>
        <w:tc>
          <w:tcPr>
            <w:tcW w:w="1857" w:type="dxa"/>
          </w:tcPr>
          <w:p w:rsidR="004C11D2" w:rsidRPr="00BF1D5C" w:rsidRDefault="004C11D2" w:rsidP="009A2F4D">
            <w:pPr>
              <w:tabs>
                <w:tab w:val="left" w:pos="0"/>
              </w:tabs>
              <w:spacing w:line="360" w:lineRule="atLeast"/>
              <w:ind w:left="20"/>
              <w:jc w:val="center"/>
            </w:pPr>
            <w:r w:rsidRPr="00BF1D5C">
              <w:t>0</w:t>
            </w:r>
          </w:p>
        </w:tc>
      </w:tr>
      <w:tr w:rsidR="004C11D2" w:rsidRPr="00BF1D5C" w:rsidTr="009A2F4D">
        <w:tblPrEx>
          <w:tblCellMar>
            <w:top w:w="0" w:type="dxa"/>
            <w:bottom w:w="0" w:type="dxa"/>
          </w:tblCellMar>
        </w:tblPrEx>
        <w:trPr>
          <w:cantSplit/>
        </w:trPr>
        <w:tc>
          <w:tcPr>
            <w:tcW w:w="1856" w:type="dxa"/>
            <w:tcBorders>
              <w:top w:val="single" w:sz="6" w:space="0" w:color="auto"/>
            </w:tcBorders>
          </w:tcPr>
          <w:p w:rsidR="004C11D2" w:rsidRPr="00BF1D5C" w:rsidRDefault="004C11D2" w:rsidP="009A2F4D">
            <w:pPr>
              <w:tabs>
                <w:tab w:val="left" w:pos="0"/>
              </w:tabs>
              <w:spacing w:line="360" w:lineRule="atLeast"/>
            </w:pPr>
            <w:r w:rsidRPr="00BF1D5C">
              <w:t>Total</w:t>
            </w:r>
          </w:p>
        </w:tc>
        <w:tc>
          <w:tcPr>
            <w:tcW w:w="1857" w:type="dxa"/>
            <w:tcBorders>
              <w:top w:val="single" w:sz="6" w:space="0" w:color="auto"/>
            </w:tcBorders>
          </w:tcPr>
          <w:p w:rsidR="004C11D2" w:rsidRPr="00BF1D5C" w:rsidRDefault="004C11D2" w:rsidP="009A2F4D">
            <w:pPr>
              <w:tabs>
                <w:tab w:val="left" w:pos="0"/>
              </w:tabs>
              <w:spacing w:line="360" w:lineRule="atLeast"/>
              <w:jc w:val="center"/>
            </w:pPr>
            <w:r w:rsidRPr="00BF1D5C">
              <w:t>X</w:t>
            </w:r>
            <w:r w:rsidRPr="00BF1D5C">
              <w:rPr>
                <w:vertAlign w:val="subscript"/>
              </w:rPr>
              <w:t>1</w:t>
            </w:r>
            <w:r w:rsidRPr="00BF1D5C">
              <w:t xml:space="preserve"> – S</w:t>
            </w:r>
            <w:r w:rsidRPr="00BF1D5C">
              <w:rPr>
                <w:vertAlign w:val="subscript"/>
              </w:rPr>
              <w:t xml:space="preserve"> T</w:t>
            </w:r>
            <w:r w:rsidRPr="00BF1D5C">
              <w:t xml:space="preserve"> </w:t>
            </w:r>
          </w:p>
        </w:tc>
        <w:tc>
          <w:tcPr>
            <w:tcW w:w="1857" w:type="dxa"/>
            <w:tcBorders>
              <w:top w:val="single" w:sz="6" w:space="0" w:color="auto"/>
            </w:tcBorders>
          </w:tcPr>
          <w:p w:rsidR="004C11D2" w:rsidRPr="00BF1D5C" w:rsidRDefault="004C11D2" w:rsidP="009A2F4D">
            <w:pPr>
              <w:tabs>
                <w:tab w:val="left" w:pos="0"/>
              </w:tabs>
              <w:spacing w:line="360" w:lineRule="atLeast"/>
              <w:ind w:left="-13" w:firstLine="13"/>
              <w:jc w:val="center"/>
            </w:pPr>
            <w:r w:rsidRPr="00BF1D5C">
              <w:t>0</w:t>
            </w:r>
          </w:p>
        </w:tc>
        <w:tc>
          <w:tcPr>
            <w:tcW w:w="1857" w:type="dxa"/>
            <w:tcBorders>
              <w:top w:val="single" w:sz="6" w:space="0" w:color="auto"/>
            </w:tcBorders>
          </w:tcPr>
          <w:p w:rsidR="004C11D2" w:rsidRPr="00BF1D5C" w:rsidRDefault="004C11D2" w:rsidP="009A2F4D">
            <w:pPr>
              <w:tabs>
                <w:tab w:val="left" w:pos="0"/>
              </w:tabs>
              <w:spacing w:line="360" w:lineRule="atLeast"/>
              <w:ind w:left="20"/>
              <w:jc w:val="center"/>
            </w:pPr>
            <w:r w:rsidRPr="00BF1D5C">
              <w:t>S</w:t>
            </w:r>
            <w:r w:rsidRPr="00BF1D5C">
              <w:rPr>
                <w:vertAlign w:val="subscript"/>
              </w:rPr>
              <w:t xml:space="preserve"> T</w:t>
            </w:r>
            <w:r w:rsidRPr="00BF1D5C">
              <w:t xml:space="preserve"> – X</w:t>
            </w:r>
            <w:r w:rsidRPr="00BF1D5C">
              <w:rPr>
                <w:vertAlign w:val="subscript"/>
              </w:rPr>
              <w:t>2</w:t>
            </w:r>
          </w:p>
        </w:tc>
      </w:tr>
    </w:tbl>
    <w:p w:rsidR="004C11D2" w:rsidRPr="00BF1D5C" w:rsidRDefault="004C11D2" w:rsidP="004C11D2">
      <w:pPr>
        <w:tabs>
          <w:tab w:val="left" w:pos="0"/>
        </w:tabs>
        <w:spacing w:line="240" w:lineRule="auto"/>
      </w:pPr>
    </w:p>
    <w:p w:rsidR="004C11D2" w:rsidRPr="00BF1D5C" w:rsidRDefault="004C11D2" w:rsidP="004C11D2">
      <w:pPr>
        <w:tabs>
          <w:tab w:val="left" w:pos="0"/>
        </w:tabs>
        <w:spacing w:line="240" w:lineRule="auto"/>
        <w:ind w:left="720" w:hanging="720"/>
      </w:pPr>
      <w:r w:rsidRPr="00BF1D5C">
        <w:tab/>
      </w:r>
      <w:r w:rsidRPr="00BF1D5C">
        <w:object w:dxaOrig="6200" w:dyaOrig="3080">
          <v:shape id="_x0000_i1029" type="#_x0000_t75" style="width:309.75pt;height:153.75pt" o:ole="">
            <v:imagedata r:id="rId29" o:title=""/>
          </v:shape>
          <o:OLEObject Type="Embed" ProgID="Word.Picture.8" ShapeID="_x0000_i1029" DrawAspect="Content" ObjectID="_1446147112" r:id="rId30"/>
        </w:object>
      </w:r>
    </w:p>
    <w:p w:rsidR="004C11D2" w:rsidRPr="00BF1D5C" w:rsidRDefault="004C11D2" w:rsidP="004C11D2">
      <w:pPr>
        <w:tabs>
          <w:tab w:val="left" w:pos="0"/>
        </w:tabs>
        <w:spacing w:line="240" w:lineRule="auto"/>
        <w:ind w:left="720" w:hanging="720"/>
      </w:pPr>
    </w:p>
    <w:p w:rsidR="004C11D2" w:rsidRPr="00BF1D5C" w:rsidRDefault="004C11D2" w:rsidP="004C11D2">
      <w:pPr>
        <w:tabs>
          <w:tab w:val="left" w:pos="0"/>
        </w:tabs>
        <w:spacing w:line="240" w:lineRule="auto"/>
        <w:ind w:left="720" w:hanging="720"/>
      </w:pPr>
      <w:r w:rsidRPr="00BF1D5C">
        <w:br w:type="page"/>
      </w:r>
    </w:p>
    <w:p w:rsidR="004C11D2" w:rsidRPr="00BF1D5C" w:rsidRDefault="004C11D2" w:rsidP="004C11D2">
      <w:pPr>
        <w:tabs>
          <w:tab w:val="left" w:pos="0"/>
        </w:tabs>
        <w:spacing w:line="240" w:lineRule="auto"/>
        <w:ind w:left="540" w:hanging="540"/>
      </w:pPr>
      <w:r w:rsidRPr="00BF1D5C">
        <w:lastRenderedPageBreak/>
        <w:t>20.</w:t>
      </w:r>
      <w:r w:rsidRPr="00BF1D5C">
        <w:tab/>
      </w:r>
      <w:proofErr w:type="gramStart"/>
      <w:r w:rsidRPr="00BF1D5C">
        <w:t>a</w:t>
      </w:r>
      <w:proofErr w:type="gramEnd"/>
      <w:r w:rsidRPr="00BF1D5C">
        <w:t>.</w:t>
      </w:r>
    </w:p>
    <w:tbl>
      <w:tblPr>
        <w:tblW w:w="0" w:type="auto"/>
        <w:tblInd w:w="1070" w:type="dxa"/>
        <w:tblLayout w:type="fixed"/>
        <w:tblCellMar>
          <w:left w:w="80" w:type="dxa"/>
          <w:right w:w="80" w:type="dxa"/>
        </w:tblCellMar>
        <w:tblLook w:val="0000"/>
      </w:tblPr>
      <w:tblGrid>
        <w:gridCol w:w="2304"/>
        <w:gridCol w:w="1566"/>
        <w:gridCol w:w="1746"/>
        <w:gridCol w:w="1440"/>
      </w:tblGrid>
      <w:tr w:rsidR="004C11D2" w:rsidRPr="00BF1D5C" w:rsidTr="009A2F4D">
        <w:tblPrEx>
          <w:tblCellMar>
            <w:top w:w="0" w:type="dxa"/>
            <w:bottom w:w="0" w:type="dxa"/>
          </w:tblCellMar>
        </w:tblPrEx>
        <w:trPr>
          <w:cantSplit/>
          <w:trHeight w:hRule="exact" w:val="400"/>
        </w:trPr>
        <w:tc>
          <w:tcPr>
            <w:tcW w:w="2304" w:type="dxa"/>
            <w:tcBorders>
              <w:bottom w:val="single" w:sz="6" w:space="0" w:color="auto"/>
            </w:tcBorders>
            <w:vAlign w:val="center"/>
          </w:tcPr>
          <w:p w:rsidR="004C11D2" w:rsidRPr="00BF1D5C" w:rsidRDefault="004C11D2" w:rsidP="009A2F4D">
            <w:pPr>
              <w:tabs>
                <w:tab w:val="left" w:pos="0"/>
              </w:tabs>
              <w:spacing w:line="360" w:lineRule="atLeast"/>
              <w:ind w:left="10" w:hanging="10"/>
            </w:pPr>
            <w:r w:rsidRPr="00BF1D5C">
              <w:t>Position</w:t>
            </w:r>
          </w:p>
        </w:tc>
        <w:tc>
          <w:tcPr>
            <w:tcW w:w="1566" w:type="dxa"/>
            <w:tcBorders>
              <w:bottom w:val="single" w:sz="6" w:space="0" w:color="auto"/>
            </w:tcBorders>
            <w:vAlign w:val="center"/>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&lt; 125</w:t>
            </w:r>
          </w:p>
        </w:tc>
        <w:tc>
          <w:tcPr>
            <w:tcW w:w="1746" w:type="dxa"/>
            <w:tcBorders>
              <w:bottom w:val="single" w:sz="6" w:space="0" w:color="auto"/>
            </w:tcBorders>
            <w:vAlign w:val="center"/>
          </w:tcPr>
          <w:p w:rsidR="004C11D2" w:rsidRPr="00BF1D5C" w:rsidRDefault="004C11D2" w:rsidP="009A2F4D">
            <w:pPr>
              <w:tabs>
                <w:tab w:val="left" w:pos="0"/>
              </w:tabs>
              <w:spacing w:line="360" w:lineRule="atLeast"/>
              <w:jc w:val="center"/>
            </w:pPr>
            <w:r w:rsidRPr="00BF1D5C">
              <w:t xml:space="preserve">125 </w:t>
            </w:r>
            <w:r w:rsidRPr="00BF1D5C">
              <w:sym w:font="Symbol (AS)" w:char="F0A3"/>
            </w:r>
            <w:r w:rsidRPr="00BF1D5C">
              <w:t xml:space="preserve"> S</w:t>
            </w:r>
            <w:r w:rsidRPr="00BF1D5C">
              <w:rPr>
                <w:vertAlign w:val="subscript"/>
              </w:rPr>
              <w:t xml:space="preserve"> T</w:t>
            </w:r>
            <w:r w:rsidRPr="00BF1D5C">
              <w:t xml:space="preserve"> </w:t>
            </w:r>
            <w:r w:rsidRPr="00BF1D5C">
              <w:sym w:font="Symbol (AS)" w:char="F0A3"/>
            </w:r>
            <w:r w:rsidRPr="00BF1D5C">
              <w:t xml:space="preserve"> 130</w:t>
            </w:r>
          </w:p>
        </w:tc>
        <w:tc>
          <w:tcPr>
            <w:tcW w:w="1440" w:type="dxa"/>
            <w:tcBorders>
              <w:bottom w:val="single" w:sz="6" w:space="0" w:color="auto"/>
            </w:tcBorders>
            <w:vAlign w:val="center"/>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&gt; 130</w:t>
            </w:r>
          </w:p>
        </w:tc>
      </w:tr>
      <w:tr w:rsidR="004C11D2" w:rsidRPr="00BF1D5C" w:rsidTr="009A2F4D">
        <w:tblPrEx>
          <w:tblCellMar>
            <w:top w:w="0" w:type="dxa"/>
            <w:bottom w:w="0" w:type="dxa"/>
          </w:tblCellMar>
        </w:tblPrEx>
        <w:trPr>
          <w:cantSplit/>
        </w:trPr>
        <w:tc>
          <w:tcPr>
            <w:tcW w:w="2304" w:type="dxa"/>
            <w:tcBorders>
              <w:top w:val="single" w:sz="6" w:space="0" w:color="auto"/>
            </w:tcBorders>
          </w:tcPr>
          <w:p w:rsidR="004C11D2" w:rsidRPr="00BF1D5C" w:rsidRDefault="004C11D2" w:rsidP="009A2F4D">
            <w:pPr>
              <w:tabs>
                <w:tab w:val="left" w:pos="0"/>
              </w:tabs>
              <w:spacing w:line="360" w:lineRule="atLeast"/>
              <w:ind w:left="10" w:hanging="10"/>
            </w:pPr>
            <w:r w:rsidRPr="00BF1D5C">
              <w:t>Write call, X = $130</w:t>
            </w:r>
          </w:p>
        </w:tc>
        <w:tc>
          <w:tcPr>
            <w:tcW w:w="1566" w:type="dxa"/>
            <w:tcBorders>
              <w:top w:val="single" w:sz="6" w:space="0" w:color="auto"/>
            </w:tcBorders>
          </w:tcPr>
          <w:p w:rsidR="004C11D2" w:rsidRPr="00BF1D5C" w:rsidRDefault="004C11D2" w:rsidP="009A2F4D">
            <w:pPr>
              <w:tabs>
                <w:tab w:val="left" w:pos="0"/>
              </w:tabs>
              <w:spacing w:line="360" w:lineRule="atLeast"/>
              <w:jc w:val="center"/>
            </w:pPr>
            <w:r w:rsidRPr="00BF1D5C">
              <w:t>0</w:t>
            </w:r>
          </w:p>
        </w:tc>
        <w:tc>
          <w:tcPr>
            <w:tcW w:w="1746" w:type="dxa"/>
            <w:tcBorders>
              <w:top w:val="single" w:sz="6" w:space="0" w:color="auto"/>
            </w:tcBorders>
          </w:tcPr>
          <w:p w:rsidR="004C11D2" w:rsidRPr="00BF1D5C" w:rsidRDefault="004C11D2" w:rsidP="009A2F4D">
            <w:pPr>
              <w:tabs>
                <w:tab w:val="left" w:pos="0"/>
              </w:tabs>
              <w:spacing w:line="360" w:lineRule="atLeast"/>
              <w:jc w:val="center"/>
            </w:pPr>
            <w:r w:rsidRPr="00BF1D5C">
              <w:t>0</w:t>
            </w:r>
          </w:p>
        </w:tc>
        <w:tc>
          <w:tcPr>
            <w:tcW w:w="1440" w:type="dxa"/>
            <w:tcBorders>
              <w:top w:val="single" w:sz="6" w:space="0" w:color="auto"/>
            </w:tcBorders>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130)</w:t>
            </w:r>
          </w:p>
        </w:tc>
      </w:tr>
      <w:tr w:rsidR="004C11D2" w:rsidRPr="00BF1D5C" w:rsidTr="009A2F4D">
        <w:tblPrEx>
          <w:tblCellMar>
            <w:top w:w="0" w:type="dxa"/>
            <w:bottom w:w="0" w:type="dxa"/>
          </w:tblCellMar>
        </w:tblPrEx>
        <w:trPr>
          <w:cantSplit/>
          <w:trHeight w:hRule="exact" w:val="400"/>
        </w:trPr>
        <w:tc>
          <w:tcPr>
            <w:tcW w:w="2304" w:type="dxa"/>
          </w:tcPr>
          <w:p w:rsidR="004C11D2" w:rsidRPr="00BF1D5C" w:rsidRDefault="004C11D2" w:rsidP="009A2F4D">
            <w:pPr>
              <w:tabs>
                <w:tab w:val="left" w:pos="0"/>
              </w:tabs>
              <w:spacing w:line="360" w:lineRule="atLeast"/>
              <w:ind w:left="10" w:hanging="10"/>
            </w:pPr>
            <w:r w:rsidRPr="00BF1D5C">
              <w:t>Write put, X = $125</w:t>
            </w:r>
          </w:p>
        </w:tc>
        <w:tc>
          <w:tcPr>
            <w:tcW w:w="1566" w:type="dxa"/>
          </w:tcPr>
          <w:p w:rsidR="004C11D2" w:rsidRPr="00BF1D5C" w:rsidRDefault="004C11D2" w:rsidP="009A2F4D">
            <w:pPr>
              <w:tabs>
                <w:tab w:val="left" w:pos="0"/>
              </w:tabs>
              <w:spacing w:line="360" w:lineRule="atLeast"/>
              <w:jc w:val="center"/>
            </w:pPr>
            <w:r w:rsidRPr="00BF1D5C">
              <w:t>–(125 – S</w:t>
            </w:r>
            <w:r w:rsidRPr="00BF1D5C">
              <w:rPr>
                <w:vertAlign w:val="subscript"/>
              </w:rPr>
              <w:t xml:space="preserve"> T</w:t>
            </w:r>
            <w:r w:rsidRPr="00BF1D5C">
              <w:t>)</w:t>
            </w:r>
          </w:p>
        </w:tc>
        <w:tc>
          <w:tcPr>
            <w:tcW w:w="1746" w:type="dxa"/>
          </w:tcPr>
          <w:p w:rsidR="004C11D2" w:rsidRPr="00BF1D5C" w:rsidRDefault="004C11D2" w:rsidP="009A2F4D">
            <w:pPr>
              <w:tabs>
                <w:tab w:val="left" w:pos="0"/>
              </w:tabs>
              <w:spacing w:line="360" w:lineRule="atLeast"/>
              <w:jc w:val="center"/>
            </w:pPr>
            <w:r w:rsidRPr="00BF1D5C">
              <w:t>0</w:t>
            </w:r>
          </w:p>
        </w:tc>
        <w:tc>
          <w:tcPr>
            <w:tcW w:w="1440" w:type="dxa"/>
          </w:tcPr>
          <w:p w:rsidR="004C11D2" w:rsidRPr="00BF1D5C" w:rsidRDefault="004C11D2" w:rsidP="009A2F4D">
            <w:pPr>
              <w:tabs>
                <w:tab w:val="left" w:pos="0"/>
              </w:tabs>
              <w:spacing w:line="360" w:lineRule="atLeast"/>
              <w:jc w:val="center"/>
            </w:pPr>
            <w:r w:rsidRPr="00BF1D5C">
              <w:t>0</w:t>
            </w:r>
          </w:p>
        </w:tc>
      </w:tr>
      <w:tr w:rsidR="004C11D2" w:rsidRPr="00BF1D5C" w:rsidTr="009A2F4D">
        <w:tblPrEx>
          <w:tblCellMar>
            <w:top w:w="0" w:type="dxa"/>
            <w:bottom w:w="0" w:type="dxa"/>
          </w:tblCellMar>
        </w:tblPrEx>
        <w:trPr>
          <w:cantSplit/>
        </w:trPr>
        <w:tc>
          <w:tcPr>
            <w:tcW w:w="2304" w:type="dxa"/>
            <w:tcBorders>
              <w:top w:val="single" w:sz="6" w:space="0" w:color="auto"/>
            </w:tcBorders>
          </w:tcPr>
          <w:p w:rsidR="004C11D2" w:rsidRPr="00BF1D5C" w:rsidRDefault="004C11D2" w:rsidP="009A2F4D">
            <w:pPr>
              <w:tabs>
                <w:tab w:val="left" w:pos="0"/>
              </w:tabs>
              <w:spacing w:line="360" w:lineRule="atLeast"/>
              <w:ind w:left="10" w:hanging="10"/>
            </w:pPr>
            <w:r w:rsidRPr="00BF1D5C">
              <w:t>Total</w:t>
            </w:r>
          </w:p>
        </w:tc>
        <w:tc>
          <w:tcPr>
            <w:tcW w:w="1566" w:type="dxa"/>
            <w:tcBorders>
              <w:top w:val="single" w:sz="6" w:space="0" w:color="auto"/>
            </w:tcBorders>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125</w:t>
            </w:r>
          </w:p>
        </w:tc>
        <w:tc>
          <w:tcPr>
            <w:tcW w:w="1746" w:type="dxa"/>
            <w:tcBorders>
              <w:top w:val="single" w:sz="6" w:space="0" w:color="auto"/>
            </w:tcBorders>
          </w:tcPr>
          <w:p w:rsidR="004C11D2" w:rsidRPr="00BF1D5C" w:rsidRDefault="004C11D2" w:rsidP="009A2F4D">
            <w:pPr>
              <w:tabs>
                <w:tab w:val="left" w:pos="0"/>
              </w:tabs>
              <w:spacing w:line="360" w:lineRule="atLeast"/>
              <w:jc w:val="center"/>
            </w:pPr>
            <w:r w:rsidRPr="00BF1D5C">
              <w:t>0</w:t>
            </w:r>
          </w:p>
        </w:tc>
        <w:tc>
          <w:tcPr>
            <w:tcW w:w="1440" w:type="dxa"/>
            <w:tcBorders>
              <w:top w:val="single" w:sz="6" w:space="0" w:color="auto"/>
            </w:tcBorders>
          </w:tcPr>
          <w:p w:rsidR="004C11D2" w:rsidRPr="00BF1D5C" w:rsidRDefault="004C11D2" w:rsidP="009A2F4D">
            <w:pPr>
              <w:tabs>
                <w:tab w:val="left" w:pos="0"/>
              </w:tabs>
              <w:spacing w:line="360" w:lineRule="atLeast"/>
              <w:jc w:val="center"/>
            </w:pPr>
            <w:r w:rsidRPr="00BF1D5C">
              <w:t>130 – S</w:t>
            </w:r>
            <w:r w:rsidRPr="00BF1D5C">
              <w:rPr>
                <w:vertAlign w:val="subscript"/>
              </w:rPr>
              <w:t xml:space="preserve"> T</w:t>
            </w:r>
          </w:p>
        </w:tc>
      </w:tr>
    </w:tbl>
    <w:p w:rsidR="004C11D2" w:rsidRPr="00BF1D5C" w:rsidRDefault="004C11D2" w:rsidP="004C11D2">
      <w:pPr>
        <w:tabs>
          <w:tab w:val="left" w:pos="0"/>
        </w:tabs>
        <w:spacing w:line="240" w:lineRule="auto"/>
      </w:pPr>
    </w:p>
    <w:p w:rsidR="004C11D2" w:rsidRPr="00BF1D5C" w:rsidRDefault="004C11D2" w:rsidP="004C11D2">
      <w:pPr>
        <w:tabs>
          <w:tab w:val="left" w:pos="0"/>
          <w:tab w:val="left" w:pos="800"/>
          <w:tab w:val="center" w:pos="2880"/>
          <w:tab w:val="center" w:pos="5040"/>
          <w:tab w:val="center" w:pos="7200"/>
        </w:tabs>
        <w:spacing w:line="240" w:lineRule="auto"/>
        <w:ind w:left="440" w:hanging="440"/>
      </w:pPr>
      <w:r w:rsidRPr="00BF1D5C">
        <w:tab/>
      </w:r>
      <w:bookmarkStart w:id="1" w:name="_MON_1042541979"/>
      <w:bookmarkStart w:id="2" w:name="_MON_1052204189"/>
      <w:bookmarkStart w:id="3" w:name="_MON_1129281781"/>
      <w:bookmarkStart w:id="4" w:name="_MON_1216564329"/>
      <w:bookmarkStart w:id="5" w:name="_MON_1267286859"/>
      <w:bookmarkStart w:id="6" w:name="_MON_1270642229"/>
      <w:bookmarkStart w:id="7" w:name="_MON_1337075320"/>
      <w:bookmarkEnd w:id="1"/>
      <w:bookmarkEnd w:id="2"/>
      <w:bookmarkEnd w:id="3"/>
      <w:bookmarkEnd w:id="4"/>
      <w:bookmarkEnd w:id="5"/>
      <w:bookmarkEnd w:id="6"/>
      <w:bookmarkEnd w:id="7"/>
      <w:r w:rsidRPr="00BF1D5C">
        <w:object w:dxaOrig="6031" w:dyaOrig="2821">
          <v:shape id="_x0000_i1030" type="#_x0000_t75" style="width:301.5pt;height:141pt" o:ole="" fillcolor="window">
            <v:imagedata r:id="rId31" o:title=""/>
          </v:shape>
          <o:OLEObject Type="Embed" ProgID="Word.Picture.8" ShapeID="_x0000_i1030" DrawAspect="Content" ObjectID="_1446147113" r:id="rId32"/>
        </w:object>
      </w:r>
    </w:p>
    <w:p w:rsidR="004C11D2" w:rsidRPr="00BF1D5C" w:rsidRDefault="004C11D2" w:rsidP="004C11D2">
      <w:pPr>
        <w:tabs>
          <w:tab w:val="left" w:pos="0"/>
        </w:tabs>
        <w:spacing w:line="240" w:lineRule="auto"/>
        <w:ind w:firstLine="7"/>
      </w:pPr>
    </w:p>
    <w:p w:rsidR="004C11D2" w:rsidRPr="00BF1D5C" w:rsidRDefault="004C11D2" w:rsidP="004C11D2">
      <w:pPr>
        <w:tabs>
          <w:tab w:val="left" w:pos="0"/>
        </w:tabs>
        <w:spacing w:after="80" w:line="240" w:lineRule="auto"/>
        <w:ind w:left="1094" w:hanging="547"/>
      </w:pPr>
      <w:r w:rsidRPr="00BF1D5C">
        <w:t>b.</w:t>
      </w:r>
      <w:r w:rsidRPr="00BF1D5C">
        <w:tab/>
        <w:t>Proceeds from writing options:</w:t>
      </w:r>
    </w:p>
    <w:p w:rsidR="004C11D2" w:rsidRPr="00BF1D5C" w:rsidRDefault="004C11D2" w:rsidP="004C11D2">
      <w:pPr>
        <w:tabs>
          <w:tab w:val="left" w:pos="0"/>
        </w:tabs>
        <w:spacing w:line="240" w:lineRule="auto"/>
        <w:ind w:left="1980" w:hanging="900"/>
      </w:pPr>
      <w:r w:rsidRPr="00BF1D5C">
        <w:t>Call:</w:t>
      </w:r>
      <w:r w:rsidRPr="00BF1D5C">
        <w:tab/>
        <w:t>$2.18</w:t>
      </w:r>
    </w:p>
    <w:p w:rsidR="004C11D2" w:rsidRPr="00BF1D5C" w:rsidRDefault="004C11D2" w:rsidP="004C11D2">
      <w:pPr>
        <w:tabs>
          <w:tab w:val="left" w:pos="0"/>
        </w:tabs>
        <w:spacing w:line="240" w:lineRule="auto"/>
        <w:ind w:left="1980" w:hanging="900"/>
      </w:pPr>
      <w:r w:rsidRPr="00BF1D5C">
        <w:rPr>
          <w:u w:val="single"/>
        </w:rPr>
        <w:t>Put:</w:t>
      </w:r>
      <w:r w:rsidRPr="00BF1D5C">
        <w:tab/>
      </w:r>
      <w:r w:rsidRPr="00BF1D5C">
        <w:rPr>
          <w:u w:val="single"/>
        </w:rPr>
        <w:t>$2.44</w:t>
      </w:r>
    </w:p>
    <w:p w:rsidR="004C11D2" w:rsidRPr="00BF1D5C" w:rsidRDefault="004C11D2" w:rsidP="004C11D2">
      <w:pPr>
        <w:tabs>
          <w:tab w:val="left" w:pos="0"/>
        </w:tabs>
        <w:spacing w:after="80" w:line="240" w:lineRule="auto"/>
        <w:ind w:left="1980" w:hanging="900"/>
      </w:pPr>
      <w:r w:rsidRPr="00BF1D5C">
        <w:t>Total:</w:t>
      </w:r>
      <w:r w:rsidRPr="00BF1D5C">
        <w:tab/>
        <w:t>$4.62</w:t>
      </w:r>
    </w:p>
    <w:p w:rsidR="004C11D2" w:rsidRPr="00BF1D5C" w:rsidRDefault="004C11D2" w:rsidP="004C11D2">
      <w:pPr>
        <w:pStyle w:val="BodyTextIndent2"/>
        <w:tabs>
          <w:tab w:val="left" w:pos="0"/>
        </w:tabs>
      </w:pPr>
      <w:r w:rsidRPr="00BF1D5C">
        <w:t>If IBM sells at $128 on the option expiration date, both options expire out of the money, and profit = $4.62.  If IBM sells at $135 on the option expiration date, the call written results in a cash outflow of $5 at expiration, and an overall profit of: $4.62– $5.00 = -$0.38</w:t>
      </w:r>
    </w:p>
    <w:p w:rsidR="004C11D2" w:rsidRPr="00BF1D5C" w:rsidRDefault="004C11D2" w:rsidP="004C11D2">
      <w:pPr>
        <w:tabs>
          <w:tab w:val="left" w:pos="0"/>
        </w:tabs>
        <w:spacing w:line="240" w:lineRule="auto"/>
      </w:pPr>
    </w:p>
    <w:p w:rsidR="004C11D2" w:rsidRPr="00BF1D5C" w:rsidRDefault="004C11D2" w:rsidP="004C11D2">
      <w:pPr>
        <w:tabs>
          <w:tab w:val="left" w:pos="0"/>
        </w:tabs>
        <w:spacing w:after="120" w:line="240" w:lineRule="auto"/>
        <w:ind w:left="1080" w:hanging="540"/>
      </w:pPr>
      <w:r w:rsidRPr="00BF1D5C">
        <w:t>c.</w:t>
      </w:r>
      <w:r w:rsidRPr="00BF1D5C">
        <w:tab/>
        <w:t xml:space="preserve">You break even when either the put or the call results in </w:t>
      </w:r>
      <w:proofErr w:type="gramStart"/>
      <w:r w:rsidRPr="00BF1D5C">
        <w:t>a cash</w:t>
      </w:r>
      <w:proofErr w:type="gramEnd"/>
      <w:r w:rsidRPr="00BF1D5C">
        <w:t xml:space="preserve"> outflow of $4.62.  For the put, this requires that:</w:t>
      </w:r>
    </w:p>
    <w:p w:rsidR="004C11D2" w:rsidRPr="00BF1D5C" w:rsidRDefault="004C11D2" w:rsidP="004C11D2">
      <w:pPr>
        <w:tabs>
          <w:tab w:val="left" w:pos="0"/>
        </w:tabs>
        <w:spacing w:after="120" w:line="240" w:lineRule="auto"/>
        <w:ind w:left="1620"/>
      </w:pPr>
      <w:r w:rsidRPr="00BF1D5C">
        <w:t>$4.62 = $125.00 – S</w:t>
      </w:r>
      <w:r w:rsidRPr="00BF1D5C">
        <w:rPr>
          <w:vertAlign w:val="subscript"/>
        </w:rPr>
        <w:t xml:space="preserve"> T</w:t>
      </w:r>
      <w:r w:rsidRPr="00BF1D5C">
        <w:t xml:space="preserve"> </w:t>
      </w:r>
      <w:r w:rsidRPr="00BF1D5C">
        <w:sym w:font="Symbol" w:char="F0DE"/>
      </w:r>
      <w:r w:rsidRPr="00BF1D5C">
        <w:t xml:space="preserve"> S</w:t>
      </w:r>
      <w:r w:rsidRPr="00BF1D5C">
        <w:rPr>
          <w:vertAlign w:val="subscript"/>
        </w:rPr>
        <w:t xml:space="preserve"> T</w:t>
      </w:r>
      <w:r w:rsidRPr="00BF1D5C">
        <w:t xml:space="preserve"> = $120.38</w:t>
      </w:r>
    </w:p>
    <w:p w:rsidR="004C11D2" w:rsidRPr="00BF1D5C" w:rsidRDefault="004C11D2" w:rsidP="004C11D2">
      <w:pPr>
        <w:tabs>
          <w:tab w:val="left" w:pos="0"/>
        </w:tabs>
        <w:spacing w:after="120" w:line="240" w:lineRule="auto"/>
        <w:ind w:left="1080"/>
      </w:pPr>
      <w:r w:rsidRPr="00BF1D5C">
        <w:t>For the call, this requires that:</w:t>
      </w:r>
    </w:p>
    <w:p w:rsidR="004C11D2" w:rsidRPr="00BF1D5C" w:rsidRDefault="004C11D2" w:rsidP="004C11D2">
      <w:pPr>
        <w:tabs>
          <w:tab w:val="left" w:pos="0"/>
        </w:tabs>
        <w:spacing w:line="240" w:lineRule="auto"/>
        <w:ind w:left="1620"/>
      </w:pPr>
      <w:r w:rsidRPr="00BF1D5C">
        <w:t>$4.62 = S</w:t>
      </w:r>
      <w:r w:rsidRPr="00BF1D5C">
        <w:rPr>
          <w:vertAlign w:val="subscript"/>
        </w:rPr>
        <w:t xml:space="preserve"> T</w:t>
      </w:r>
      <w:r w:rsidRPr="00BF1D5C">
        <w:t xml:space="preserve"> – $130.00 </w:t>
      </w:r>
      <w:r w:rsidRPr="00BF1D5C">
        <w:sym w:font="Symbol" w:char="F0DE"/>
      </w:r>
      <w:r w:rsidRPr="00BF1D5C">
        <w:t xml:space="preserve"> S</w:t>
      </w:r>
      <w:r w:rsidRPr="00BF1D5C">
        <w:rPr>
          <w:vertAlign w:val="subscript"/>
        </w:rPr>
        <w:t xml:space="preserve"> T</w:t>
      </w:r>
      <w:r w:rsidRPr="00BF1D5C">
        <w:t xml:space="preserve"> = $134.62</w:t>
      </w:r>
    </w:p>
    <w:p w:rsidR="004C11D2" w:rsidRPr="00BF1D5C" w:rsidRDefault="004C11D2" w:rsidP="004C11D2">
      <w:pPr>
        <w:tabs>
          <w:tab w:val="left" w:pos="0"/>
        </w:tabs>
        <w:spacing w:line="240" w:lineRule="auto"/>
      </w:pPr>
    </w:p>
    <w:p w:rsidR="004C11D2" w:rsidRPr="00BF1D5C" w:rsidRDefault="004C11D2" w:rsidP="004C11D2">
      <w:pPr>
        <w:tabs>
          <w:tab w:val="left" w:pos="0"/>
        </w:tabs>
        <w:spacing w:line="240" w:lineRule="auto"/>
        <w:ind w:left="1080" w:hanging="540"/>
      </w:pPr>
      <w:r w:rsidRPr="00BF1D5C">
        <w:lastRenderedPageBreak/>
        <w:t>d.</w:t>
      </w:r>
      <w:r w:rsidRPr="00BF1D5C">
        <w:tab/>
        <w:t>The investor is betting that IBM stock price will have low volatility.  This position is similar to a straddle.</w:t>
      </w:r>
    </w:p>
    <w:p w:rsidR="004C11D2" w:rsidRPr="00BF1D5C" w:rsidRDefault="004C11D2" w:rsidP="004C11D2">
      <w:pPr>
        <w:tabs>
          <w:tab w:val="left" w:pos="0"/>
          <w:tab w:val="left" w:pos="540"/>
        </w:tabs>
        <w:spacing w:after="120" w:line="240" w:lineRule="auto"/>
        <w:ind w:left="1080" w:hanging="1080"/>
      </w:pPr>
      <w:r w:rsidRPr="00BF1D5C">
        <w:t>27.</w:t>
      </w:r>
      <w:r w:rsidRPr="00BF1D5C">
        <w:tab/>
        <w:t>a., b.</w:t>
      </w:r>
      <w:r w:rsidRPr="00BF1D5C">
        <w:tab/>
        <w:t>(See graph below)</w:t>
      </w:r>
    </w:p>
    <w:p w:rsidR="004C11D2" w:rsidRPr="00BF1D5C" w:rsidRDefault="004C11D2" w:rsidP="004C11D2">
      <w:pPr>
        <w:tabs>
          <w:tab w:val="left" w:pos="0"/>
        </w:tabs>
        <w:spacing w:after="120" w:line="240" w:lineRule="auto"/>
        <w:ind w:left="1080"/>
      </w:pPr>
      <w:r w:rsidRPr="00BF1D5C">
        <w:t>This strategy is a bear spread.  Initial proceeds = $9 – $3 = $6</w:t>
      </w:r>
    </w:p>
    <w:p w:rsidR="004C11D2" w:rsidRPr="00BF1D5C" w:rsidRDefault="004C11D2" w:rsidP="004C11D2">
      <w:pPr>
        <w:tabs>
          <w:tab w:val="left" w:pos="0"/>
        </w:tabs>
        <w:spacing w:after="120" w:line="240" w:lineRule="auto"/>
        <w:ind w:left="1080"/>
      </w:pPr>
      <w:r w:rsidRPr="00BF1D5C">
        <w:t>The payoff is either negative or zero:</w:t>
      </w:r>
    </w:p>
    <w:tbl>
      <w:tblPr>
        <w:tblW w:w="0" w:type="auto"/>
        <w:tblInd w:w="1070" w:type="dxa"/>
        <w:tblLayout w:type="fixed"/>
        <w:tblCellMar>
          <w:left w:w="80" w:type="dxa"/>
          <w:right w:w="80" w:type="dxa"/>
        </w:tblCellMar>
        <w:tblLook w:val="0000"/>
      </w:tblPr>
      <w:tblGrid>
        <w:gridCol w:w="2160"/>
        <w:gridCol w:w="1440"/>
        <w:gridCol w:w="1584"/>
        <w:gridCol w:w="1584"/>
      </w:tblGrid>
      <w:tr w:rsidR="004C11D2" w:rsidRPr="00BF1D5C" w:rsidTr="009A2F4D">
        <w:tblPrEx>
          <w:tblCellMar>
            <w:top w:w="0" w:type="dxa"/>
            <w:bottom w:w="0" w:type="dxa"/>
          </w:tblCellMar>
        </w:tblPrEx>
        <w:trPr>
          <w:cantSplit/>
          <w:trHeight w:hRule="exact" w:val="400"/>
        </w:trPr>
        <w:tc>
          <w:tcPr>
            <w:tcW w:w="2160" w:type="dxa"/>
            <w:tcBorders>
              <w:bottom w:val="single" w:sz="6" w:space="0" w:color="auto"/>
            </w:tcBorders>
            <w:vAlign w:val="center"/>
          </w:tcPr>
          <w:p w:rsidR="004C11D2" w:rsidRPr="00BF1D5C" w:rsidRDefault="004C11D2" w:rsidP="009A2F4D">
            <w:pPr>
              <w:tabs>
                <w:tab w:val="left" w:pos="0"/>
              </w:tabs>
              <w:spacing w:line="360" w:lineRule="atLeast"/>
              <w:ind w:left="10" w:hanging="10"/>
            </w:pPr>
            <w:r w:rsidRPr="00BF1D5C">
              <w:t>Position</w:t>
            </w:r>
          </w:p>
        </w:tc>
        <w:tc>
          <w:tcPr>
            <w:tcW w:w="1440" w:type="dxa"/>
            <w:tcBorders>
              <w:bottom w:val="single" w:sz="6" w:space="0" w:color="auto"/>
            </w:tcBorders>
            <w:vAlign w:val="center"/>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&lt; 50</w:t>
            </w:r>
          </w:p>
        </w:tc>
        <w:tc>
          <w:tcPr>
            <w:tcW w:w="1584" w:type="dxa"/>
            <w:tcBorders>
              <w:bottom w:val="single" w:sz="6" w:space="0" w:color="auto"/>
            </w:tcBorders>
            <w:vAlign w:val="center"/>
          </w:tcPr>
          <w:p w:rsidR="004C11D2" w:rsidRPr="00BF1D5C" w:rsidRDefault="004C11D2" w:rsidP="009A2F4D">
            <w:pPr>
              <w:tabs>
                <w:tab w:val="left" w:pos="0"/>
              </w:tabs>
              <w:spacing w:line="360" w:lineRule="atLeast"/>
              <w:jc w:val="center"/>
            </w:pPr>
            <w:r w:rsidRPr="00BF1D5C">
              <w:t xml:space="preserve">50 </w:t>
            </w:r>
            <w:r w:rsidRPr="00BF1D5C">
              <w:sym w:font="Symbol (AS)" w:char="F0A3"/>
            </w:r>
            <w:r w:rsidRPr="00BF1D5C">
              <w:t xml:space="preserve"> S</w:t>
            </w:r>
            <w:r w:rsidRPr="00BF1D5C">
              <w:rPr>
                <w:vertAlign w:val="subscript"/>
              </w:rPr>
              <w:t xml:space="preserve"> T</w:t>
            </w:r>
            <w:r w:rsidRPr="00BF1D5C">
              <w:t xml:space="preserve"> </w:t>
            </w:r>
            <w:r w:rsidRPr="00BF1D5C">
              <w:sym w:font="Symbol (AS)" w:char="F0A3"/>
            </w:r>
            <w:r w:rsidRPr="00BF1D5C">
              <w:t xml:space="preserve"> 60</w:t>
            </w:r>
          </w:p>
        </w:tc>
        <w:tc>
          <w:tcPr>
            <w:tcW w:w="1584" w:type="dxa"/>
            <w:tcBorders>
              <w:bottom w:val="single" w:sz="6" w:space="0" w:color="auto"/>
            </w:tcBorders>
            <w:vAlign w:val="center"/>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&gt; 60</w:t>
            </w:r>
          </w:p>
        </w:tc>
      </w:tr>
      <w:tr w:rsidR="004C11D2" w:rsidRPr="00BF1D5C" w:rsidTr="009A2F4D">
        <w:tblPrEx>
          <w:tblCellMar>
            <w:top w:w="0" w:type="dxa"/>
            <w:bottom w:w="0" w:type="dxa"/>
          </w:tblCellMar>
        </w:tblPrEx>
        <w:trPr>
          <w:cantSplit/>
        </w:trPr>
        <w:tc>
          <w:tcPr>
            <w:tcW w:w="2160" w:type="dxa"/>
            <w:tcBorders>
              <w:top w:val="single" w:sz="6" w:space="0" w:color="auto"/>
            </w:tcBorders>
          </w:tcPr>
          <w:p w:rsidR="004C11D2" w:rsidRPr="00BF1D5C" w:rsidRDefault="004C11D2" w:rsidP="009A2F4D">
            <w:pPr>
              <w:tabs>
                <w:tab w:val="left" w:pos="0"/>
              </w:tabs>
              <w:spacing w:line="360" w:lineRule="atLeast"/>
              <w:ind w:left="10" w:hanging="10"/>
            </w:pPr>
            <w:r w:rsidRPr="00BF1D5C">
              <w:t>Buy call, X = $60</w:t>
            </w:r>
          </w:p>
        </w:tc>
        <w:tc>
          <w:tcPr>
            <w:tcW w:w="1440" w:type="dxa"/>
            <w:tcBorders>
              <w:top w:val="single" w:sz="6" w:space="0" w:color="auto"/>
            </w:tcBorders>
          </w:tcPr>
          <w:p w:rsidR="004C11D2" w:rsidRPr="00BF1D5C" w:rsidRDefault="004C11D2" w:rsidP="009A2F4D">
            <w:pPr>
              <w:tabs>
                <w:tab w:val="left" w:pos="0"/>
              </w:tabs>
              <w:spacing w:line="360" w:lineRule="atLeast"/>
              <w:jc w:val="center"/>
            </w:pPr>
            <w:r w:rsidRPr="00BF1D5C">
              <w:t>0</w:t>
            </w:r>
          </w:p>
        </w:tc>
        <w:tc>
          <w:tcPr>
            <w:tcW w:w="1584" w:type="dxa"/>
            <w:tcBorders>
              <w:top w:val="single" w:sz="6" w:space="0" w:color="auto"/>
            </w:tcBorders>
          </w:tcPr>
          <w:p w:rsidR="004C11D2" w:rsidRPr="00BF1D5C" w:rsidRDefault="004C11D2" w:rsidP="009A2F4D">
            <w:pPr>
              <w:tabs>
                <w:tab w:val="left" w:pos="0"/>
              </w:tabs>
              <w:spacing w:line="360" w:lineRule="atLeast"/>
              <w:jc w:val="center"/>
            </w:pPr>
            <w:r w:rsidRPr="00BF1D5C">
              <w:t>0</w:t>
            </w:r>
          </w:p>
        </w:tc>
        <w:tc>
          <w:tcPr>
            <w:tcW w:w="1584" w:type="dxa"/>
            <w:tcBorders>
              <w:top w:val="single" w:sz="6" w:space="0" w:color="auto"/>
            </w:tcBorders>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60</w:t>
            </w:r>
          </w:p>
        </w:tc>
      </w:tr>
      <w:tr w:rsidR="004C11D2" w:rsidRPr="00BF1D5C" w:rsidTr="009A2F4D">
        <w:tblPrEx>
          <w:tblCellMar>
            <w:top w:w="0" w:type="dxa"/>
            <w:bottom w:w="0" w:type="dxa"/>
          </w:tblCellMar>
        </w:tblPrEx>
        <w:trPr>
          <w:cantSplit/>
          <w:trHeight w:hRule="exact" w:val="400"/>
        </w:trPr>
        <w:tc>
          <w:tcPr>
            <w:tcW w:w="2160" w:type="dxa"/>
          </w:tcPr>
          <w:p w:rsidR="004C11D2" w:rsidRPr="00BF1D5C" w:rsidRDefault="004C11D2" w:rsidP="009A2F4D">
            <w:pPr>
              <w:tabs>
                <w:tab w:val="left" w:pos="0"/>
              </w:tabs>
              <w:spacing w:line="360" w:lineRule="atLeast"/>
              <w:ind w:left="10" w:hanging="10"/>
            </w:pPr>
            <w:r w:rsidRPr="00BF1D5C">
              <w:t>Write call, X = $50</w:t>
            </w:r>
          </w:p>
        </w:tc>
        <w:tc>
          <w:tcPr>
            <w:tcW w:w="1440" w:type="dxa"/>
          </w:tcPr>
          <w:p w:rsidR="004C11D2" w:rsidRPr="00BF1D5C" w:rsidRDefault="004C11D2" w:rsidP="009A2F4D">
            <w:pPr>
              <w:tabs>
                <w:tab w:val="left" w:pos="0"/>
              </w:tabs>
              <w:spacing w:line="360" w:lineRule="atLeast"/>
              <w:jc w:val="center"/>
            </w:pPr>
            <w:r w:rsidRPr="00BF1D5C">
              <w:t>0</w:t>
            </w:r>
          </w:p>
        </w:tc>
        <w:tc>
          <w:tcPr>
            <w:tcW w:w="1584" w:type="dxa"/>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50)</w:t>
            </w:r>
          </w:p>
        </w:tc>
        <w:tc>
          <w:tcPr>
            <w:tcW w:w="1584" w:type="dxa"/>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50)</w:t>
            </w:r>
          </w:p>
        </w:tc>
      </w:tr>
      <w:tr w:rsidR="004C11D2" w:rsidRPr="00BF1D5C" w:rsidTr="009A2F4D">
        <w:tblPrEx>
          <w:tblCellMar>
            <w:top w:w="0" w:type="dxa"/>
            <w:bottom w:w="0" w:type="dxa"/>
          </w:tblCellMar>
        </w:tblPrEx>
        <w:trPr>
          <w:cantSplit/>
        </w:trPr>
        <w:tc>
          <w:tcPr>
            <w:tcW w:w="2160" w:type="dxa"/>
            <w:tcBorders>
              <w:top w:val="single" w:sz="6" w:space="0" w:color="auto"/>
            </w:tcBorders>
          </w:tcPr>
          <w:p w:rsidR="004C11D2" w:rsidRPr="00BF1D5C" w:rsidRDefault="004C11D2" w:rsidP="009A2F4D">
            <w:pPr>
              <w:tabs>
                <w:tab w:val="left" w:pos="0"/>
              </w:tabs>
              <w:spacing w:line="360" w:lineRule="atLeast"/>
              <w:ind w:left="10" w:hanging="10"/>
            </w:pPr>
            <w:r w:rsidRPr="00BF1D5C">
              <w:t>Total</w:t>
            </w:r>
          </w:p>
        </w:tc>
        <w:tc>
          <w:tcPr>
            <w:tcW w:w="1440" w:type="dxa"/>
            <w:tcBorders>
              <w:top w:val="single" w:sz="6" w:space="0" w:color="auto"/>
            </w:tcBorders>
          </w:tcPr>
          <w:p w:rsidR="004C11D2" w:rsidRPr="00BF1D5C" w:rsidRDefault="004C11D2" w:rsidP="009A2F4D">
            <w:pPr>
              <w:tabs>
                <w:tab w:val="left" w:pos="0"/>
              </w:tabs>
              <w:spacing w:line="360" w:lineRule="atLeast"/>
              <w:jc w:val="center"/>
            </w:pPr>
            <w:r w:rsidRPr="00BF1D5C">
              <w:t>0</w:t>
            </w:r>
          </w:p>
        </w:tc>
        <w:tc>
          <w:tcPr>
            <w:tcW w:w="1584" w:type="dxa"/>
            <w:tcBorders>
              <w:top w:val="single" w:sz="6" w:space="0" w:color="auto"/>
            </w:tcBorders>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50)</w:t>
            </w:r>
          </w:p>
        </w:tc>
        <w:tc>
          <w:tcPr>
            <w:tcW w:w="1584" w:type="dxa"/>
            <w:tcBorders>
              <w:top w:val="single" w:sz="6" w:space="0" w:color="auto"/>
            </w:tcBorders>
          </w:tcPr>
          <w:p w:rsidR="004C11D2" w:rsidRPr="00BF1D5C" w:rsidRDefault="004C11D2" w:rsidP="009A2F4D">
            <w:pPr>
              <w:tabs>
                <w:tab w:val="left" w:pos="0"/>
              </w:tabs>
              <w:spacing w:line="360" w:lineRule="atLeast"/>
              <w:jc w:val="center"/>
            </w:pPr>
            <w:r w:rsidRPr="00BF1D5C">
              <w:t>–10</w:t>
            </w:r>
          </w:p>
        </w:tc>
      </w:tr>
    </w:tbl>
    <w:p w:rsidR="004C11D2" w:rsidRPr="00BF1D5C" w:rsidRDefault="004C11D2" w:rsidP="004C11D2">
      <w:pPr>
        <w:tabs>
          <w:tab w:val="left" w:pos="0"/>
        </w:tabs>
        <w:spacing w:line="240" w:lineRule="auto"/>
      </w:pPr>
    </w:p>
    <w:p w:rsidR="005D4D22" w:rsidRPr="00BF1D5C" w:rsidRDefault="005D4D22" w:rsidP="005D4D22">
      <w:pPr>
        <w:tabs>
          <w:tab w:val="left" w:pos="0"/>
        </w:tabs>
        <w:spacing w:line="240" w:lineRule="auto"/>
        <w:ind w:left="1080" w:hanging="540"/>
      </w:pPr>
      <w:r w:rsidRPr="00BF1D5C">
        <w:t>c.</w:t>
      </w:r>
      <w:r w:rsidRPr="00BF1D5C">
        <w:tab/>
        <w:t>Breakeven occurs when the payoff offsets the initial proceeds of $6, which occurs at stock price S</w:t>
      </w:r>
      <w:r w:rsidRPr="00BF1D5C">
        <w:rPr>
          <w:vertAlign w:val="subscript"/>
        </w:rPr>
        <w:t xml:space="preserve"> T</w:t>
      </w:r>
      <w:r w:rsidRPr="00BF1D5C">
        <w:t xml:space="preserve"> = $56.  The investor must be bearish: the position does worse when the stock price increases.</w:t>
      </w:r>
    </w:p>
    <w:p w:rsidR="005D4D22" w:rsidRPr="00BF1D5C" w:rsidRDefault="005D4D22" w:rsidP="005D4D22">
      <w:pPr>
        <w:tabs>
          <w:tab w:val="left" w:pos="0"/>
        </w:tabs>
        <w:spacing w:line="240" w:lineRule="auto"/>
        <w:ind w:right="-260"/>
      </w:pPr>
    </w:p>
    <w:p w:rsidR="005D4D22" w:rsidRPr="00BF1D5C" w:rsidRDefault="005D4D22" w:rsidP="005D4D22">
      <w:pPr>
        <w:tabs>
          <w:tab w:val="left" w:pos="0"/>
          <w:tab w:val="left" w:pos="800"/>
          <w:tab w:val="center" w:pos="2520"/>
          <w:tab w:val="center" w:pos="2880"/>
          <w:tab w:val="left" w:pos="4320"/>
          <w:tab w:val="center" w:pos="5040"/>
          <w:tab w:val="center" w:pos="5760"/>
          <w:tab w:val="center" w:pos="7200"/>
        </w:tabs>
        <w:spacing w:line="240" w:lineRule="auto"/>
        <w:ind w:left="440" w:right="-260" w:hanging="440"/>
      </w:pPr>
      <w:r w:rsidRPr="00BF1D5C">
        <w:tab/>
      </w:r>
      <w:r w:rsidRPr="00BF1D5C">
        <w:tab/>
      </w:r>
      <w:r w:rsidRPr="00BF1D5C">
        <w:object w:dxaOrig="6380" w:dyaOrig="3320">
          <v:shape id="_x0000_i1043" type="#_x0000_t75" style="width:318.75pt;height:165.75pt" o:ole="">
            <v:imagedata r:id="rId33" o:title=""/>
          </v:shape>
          <o:OLEObject Type="Embed" ProgID="Word.Picture.8" ShapeID="_x0000_i1043" DrawAspect="Content" ObjectID="_1446147114" r:id="rId34"/>
        </w:object>
      </w:r>
    </w:p>
    <w:p w:rsidR="004C11D2" w:rsidRPr="00BF1D5C" w:rsidRDefault="004C11D2" w:rsidP="005D4D22">
      <w:pPr>
        <w:tabs>
          <w:tab w:val="left" w:pos="0"/>
        </w:tabs>
        <w:spacing w:line="240" w:lineRule="auto"/>
        <w:ind w:left="1080" w:hanging="540"/>
      </w:pPr>
      <w:r w:rsidRPr="00BF1D5C">
        <w:br w:type="page"/>
      </w:r>
    </w:p>
    <w:p w:rsidR="004C11D2" w:rsidRPr="00BF1D5C" w:rsidRDefault="004C11D2" w:rsidP="004C11D2">
      <w:pPr>
        <w:tabs>
          <w:tab w:val="left" w:pos="0"/>
        </w:tabs>
        <w:spacing w:after="100" w:afterAutospacing="1" w:line="240" w:lineRule="auto"/>
        <w:ind w:left="547" w:hanging="547"/>
      </w:pPr>
      <w:r w:rsidRPr="00BF1D5C">
        <w:lastRenderedPageBreak/>
        <w:t>28.</w:t>
      </w:r>
      <w:r w:rsidRPr="00BF1D5C">
        <w:tab/>
        <w:t>Buy a share of stock, write a call with X = $50, write a call with X = $60, and buy a call with X = $110.</w:t>
      </w:r>
    </w:p>
    <w:tbl>
      <w:tblPr>
        <w:tblW w:w="0" w:type="auto"/>
        <w:tblInd w:w="530" w:type="dxa"/>
        <w:tblLayout w:type="fixed"/>
        <w:tblCellMar>
          <w:left w:w="80" w:type="dxa"/>
          <w:right w:w="80" w:type="dxa"/>
        </w:tblCellMar>
        <w:tblLook w:val="0000"/>
      </w:tblPr>
      <w:tblGrid>
        <w:gridCol w:w="2108"/>
        <w:gridCol w:w="1324"/>
        <w:gridCol w:w="1586"/>
        <w:gridCol w:w="1586"/>
        <w:gridCol w:w="1586"/>
      </w:tblGrid>
      <w:tr w:rsidR="004C11D2" w:rsidRPr="00BF1D5C" w:rsidTr="009A2F4D">
        <w:tblPrEx>
          <w:tblCellMar>
            <w:top w:w="0" w:type="dxa"/>
            <w:bottom w:w="0" w:type="dxa"/>
          </w:tblCellMar>
        </w:tblPrEx>
        <w:trPr>
          <w:cantSplit/>
          <w:trHeight w:hRule="exact" w:val="400"/>
        </w:trPr>
        <w:tc>
          <w:tcPr>
            <w:tcW w:w="2108" w:type="dxa"/>
            <w:tcBorders>
              <w:bottom w:val="single" w:sz="6" w:space="0" w:color="auto"/>
            </w:tcBorders>
          </w:tcPr>
          <w:p w:rsidR="004C11D2" w:rsidRPr="00BF1D5C" w:rsidRDefault="004C11D2" w:rsidP="009A2F4D">
            <w:pPr>
              <w:tabs>
                <w:tab w:val="left" w:pos="0"/>
              </w:tabs>
              <w:spacing w:line="360" w:lineRule="atLeast"/>
              <w:ind w:left="10" w:hanging="10"/>
            </w:pPr>
            <w:r w:rsidRPr="00BF1D5C">
              <w:t>Position</w:t>
            </w:r>
          </w:p>
        </w:tc>
        <w:tc>
          <w:tcPr>
            <w:tcW w:w="1324" w:type="dxa"/>
            <w:tcBorders>
              <w:bottom w:val="single" w:sz="6" w:space="0" w:color="auto"/>
            </w:tcBorders>
          </w:tcPr>
          <w:p w:rsidR="004C11D2" w:rsidRPr="00BF1D5C" w:rsidRDefault="004C11D2" w:rsidP="009A2F4D">
            <w:pPr>
              <w:tabs>
                <w:tab w:val="left" w:pos="0"/>
              </w:tabs>
              <w:spacing w:line="360" w:lineRule="atLeast"/>
              <w:ind w:left="-28" w:firstLine="28"/>
              <w:jc w:val="center"/>
            </w:pPr>
            <w:r w:rsidRPr="00BF1D5C">
              <w:t>S</w:t>
            </w:r>
            <w:r w:rsidRPr="00BF1D5C">
              <w:rPr>
                <w:vertAlign w:val="subscript"/>
              </w:rPr>
              <w:t xml:space="preserve"> T</w:t>
            </w:r>
            <w:r w:rsidRPr="00BF1D5C">
              <w:t xml:space="preserve"> &lt; 50</w:t>
            </w:r>
          </w:p>
        </w:tc>
        <w:tc>
          <w:tcPr>
            <w:tcW w:w="1586" w:type="dxa"/>
            <w:tcBorders>
              <w:bottom w:val="single" w:sz="6" w:space="0" w:color="auto"/>
            </w:tcBorders>
          </w:tcPr>
          <w:p w:rsidR="004C11D2" w:rsidRPr="00BF1D5C" w:rsidRDefault="004C11D2" w:rsidP="009A2F4D">
            <w:pPr>
              <w:tabs>
                <w:tab w:val="left" w:pos="0"/>
              </w:tabs>
              <w:spacing w:line="360" w:lineRule="atLeast"/>
              <w:ind w:left="-2" w:firstLine="2"/>
              <w:jc w:val="center"/>
            </w:pPr>
            <w:r w:rsidRPr="00BF1D5C">
              <w:t xml:space="preserve">50 </w:t>
            </w:r>
            <w:r w:rsidRPr="00BF1D5C">
              <w:sym w:font="Symbol (AS)" w:char="F0A3"/>
            </w:r>
            <w:r w:rsidRPr="00BF1D5C">
              <w:t xml:space="preserve"> S</w:t>
            </w:r>
            <w:r w:rsidRPr="00BF1D5C">
              <w:rPr>
                <w:vertAlign w:val="subscript"/>
              </w:rPr>
              <w:t xml:space="preserve"> T</w:t>
            </w:r>
            <w:r w:rsidRPr="00BF1D5C">
              <w:t xml:space="preserve"> </w:t>
            </w:r>
            <w:r w:rsidRPr="00BF1D5C">
              <w:sym w:font="Symbol (AS)" w:char="F0A3"/>
            </w:r>
            <w:r w:rsidRPr="00BF1D5C">
              <w:t xml:space="preserve"> 60</w:t>
            </w:r>
          </w:p>
        </w:tc>
        <w:tc>
          <w:tcPr>
            <w:tcW w:w="1586" w:type="dxa"/>
            <w:tcBorders>
              <w:bottom w:val="single" w:sz="6" w:space="0" w:color="auto"/>
            </w:tcBorders>
          </w:tcPr>
          <w:p w:rsidR="004C11D2" w:rsidRPr="00BF1D5C" w:rsidRDefault="004C11D2" w:rsidP="009A2F4D">
            <w:pPr>
              <w:tabs>
                <w:tab w:val="left" w:pos="0"/>
              </w:tabs>
              <w:spacing w:line="360" w:lineRule="atLeast"/>
              <w:jc w:val="center"/>
            </w:pPr>
            <w:r w:rsidRPr="00BF1D5C">
              <w:t>60 &lt; S</w:t>
            </w:r>
            <w:r w:rsidRPr="00BF1D5C">
              <w:rPr>
                <w:vertAlign w:val="subscript"/>
              </w:rPr>
              <w:t xml:space="preserve"> T</w:t>
            </w:r>
            <w:r w:rsidRPr="00BF1D5C">
              <w:t xml:space="preserve"> </w:t>
            </w:r>
            <w:r w:rsidRPr="00BF1D5C">
              <w:sym w:font="Symbol (AS)" w:char="F0A3"/>
            </w:r>
            <w:r w:rsidRPr="00BF1D5C">
              <w:t xml:space="preserve"> 110</w:t>
            </w:r>
          </w:p>
        </w:tc>
        <w:tc>
          <w:tcPr>
            <w:tcW w:w="1586" w:type="dxa"/>
            <w:tcBorders>
              <w:bottom w:val="single" w:sz="6" w:space="0" w:color="auto"/>
            </w:tcBorders>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&gt; 110</w:t>
            </w:r>
          </w:p>
        </w:tc>
      </w:tr>
      <w:tr w:rsidR="004C11D2" w:rsidRPr="00BF1D5C" w:rsidTr="009A2F4D">
        <w:tblPrEx>
          <w:tblCellMar>
            <w:top w:w="0" w:type="dxa"/>
            <w:bottom w:w="0" w:type="dxa"/>
          </w:tblCellMar>
        </w:tblPrEx>
        <w:trPr>
          <w:cantSplit/>
        </w:trPr>
        <w:tc>
          <w:tcPr>
            <w:tcW w:w="2108" w:type="dxa"/>
            <w:tcBorders>
              <w:top w:val="single" w:sz="6" w:space="0" w:color="auto"/>
            </w:tcBorders>
          </w:tcPr>
          <w:p w:rsidR="004C11D2" w:rsidRPr="00BF1D5C" w:rsidRDefault="004C11D2" w:rsidP="009A2F4D">
            <w:pPr>
              <w:tabs>
                <w:tab w:val="left" w:pos="0"/>
              </w:tabs>
              <w:spacing w:line="360" w:lineRule="atLeast"/>
              <w:ind w:left="10" w:hanging="10"/>
            </w:pPr>
            <w:r w:rsidRPr="00BF1D5C">
              <w:t>Buy stock</w:t>
            </w:r>
          </w:p>
        </w:tc>
        <w:tc>
          <w:tcPr>
            <w:tcW w:w="1324" w:type="dxa"/>
            <w:tcBorders>
              <w:top w:val="single" w:sz="6" w:space="0" w:color="auto"/>
            </w:tcBorders>
          </w:tcPr>
          <w:p w:rsidR="004C11D2" w:rsidRPr="00BF1D5C" w:rsidRDefault="004C11D2" w:rsidP="009A2F4D">
            <w:pPr>
              <w:tabs>
                <w:tab w:val="left" w:pos="0"/>
              </w:tabs>
              <w:spacing w:line="360" w:lineRule="atLeast"/>
              <w:ind w:left="-28" w:firstLine="28"/>
              <w:jc w:val="center"/>
            </w:pPr>
            <w:r w:rsidRPr="00BF1D5C">
              <w:t>S</w:t>
            </w:r>
            <w:r w:rsidRPr="00BF1D5C">
              <w:rPr>
                <w:vertAlign w:val="subscript"/>
              </w:rPr>
              <w:t xml:space="preserve"> T</w:t>
            </w:r>
          </w:p>
        </w:tc>
        <w:tc>
          <w:tcPr>
            <w:tcW w:w="1586" w:type="dxa"/>
            <w:tcBorders>
              <w:top w:val="single" w:sz="6" w:space="0" w:color="auto"/>
            </w:tcBorders>
          </w:tcPr>
          <w:p w:rsidR="004C11D2" w:rsidRPr="00BF1D5C" w:rsidRDefault="004C11D2" w:rsidP="009A2F4D">
            <w:pPr>
              <w:tabs>
                <w:tab w:val="left" w:pos="0"/>
              </w:tabs>
              <w:spacing w:line="360" w:lineRule="atLeast"/>
              <w:ind w:left="-2" w:firstLine="2"/>
              <w:jc w:val="center"/>
            </w:pPr>
            <w:r w:rsidRPr="00BF1D5C">
              <w:t>S</w:t>
            </w:r>
            <w:r w:rsidRPr="00BF1D5C">
              <w:rPr>
                <w:vertAlign w:val="subscript"/>
              </w:rPr>
              <w:t xml:space="preserve"> T</w:t>
            </w:r>
          </w:p>
        </w:tc>
        <w:tc>
          <w:tcPr>
            <w:tcW w:w="1586" w:type="dxa"/>
            <w:tcBorders>
              <w:top w:val="single" w:sz="6" w:space="0" w:color="auto"/>
            </w:tcBorders>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p>
        </w:tc>
        <w:tc>
          <w:tcPr>
            <w:tcW w:w="1586" w:type="dxa"/>
            <w:tcBorders>
              <w:top w:val="single" w:sz="6" w:space="0" w:color="auto"/>
            </w:tcBorders>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p>
        </w:tc>
      </w:tr>
      <w:tr w:rsidR="004C11D2" w:rsidRPr="00BF1D5C" w:rsidTr="009A2F4D">
        <w:tblPrEx>
          <w:tblCellMar>
            <w:top w:w="0" w:type="dxa"/>
            <w:bottom w:w="0" w:type="dxa"/>
          </w:tblCellMar>
        </w:tblPrEx>
        <w:trPr>
          <w:cantSplit/>
        </w:trPr>
        <w:tc>
          <w:tcPr>
            <w:tcW w:w="2108" w:type="dxa"/>
          </w:tcPr>
          <w:p w:rsidR="004C11D2" w:rsidRPr="00BF1D5C" w:rsidRDefault="004C11D2" w:rsidP="009A2F4D">
            <w:pPr>
              <w:tabs>
                <w:tab w:val="left" w:pos="0"/>
              </w:tabs>
              <w:spacing w:line="360" w:lineRule="atLeast"/>
              <w:ind w:left="10" w:right="12" w:hanging="10"/>
            </w:pPr>
            <w:r w:rsidRPr="00BF1D5C">
              <w:t>Write call, X = $50</w:t>
            </w:r>
          </w:p>
        </w:tc>
        <w:tc>
          <w:tcPr>
            <w:tcW w:w="1324" w:type="dxa"/>
          </w:tcPr>
          <w:p w:rsidR="004C11D2" w:rsidRPr="00BF1D5C" w:rsidRDefault="004C11D2" w:rsidP="009A2F4D">
            <w:pPr>
              <w:tabs>
                <w:tab w:val="left" w:pos="0"/>
              </w:tabs>
              <w:spacing w:line="360" w:lineRule="atLeast"/>
              <w:ind w:left="-28" w:firstLine="28"/>
              <w:jc w:val="center"/>
            </w:pPr>
            <w:r w:rsidRPr="00BF1D5C">
              <w:t>0</w:t>
            </w:r>
          </w:p>
        </w:tc>
        <w:tc>
          <w:tcPr>
            <w:tcW w:w="1586" w:type="dxa"/>
          </w:tcPr>
          <w:p w:rsidR="004C11D2" w:rsidRPr="00BF1D5C" w:rsidRDefault="004C11D2" w:rsidP="009A2F4D">
            <w:pPr>
              <w:tabs>
                <w:tab w:val="left" w:pos="0"/>
              </w:tabs>
              <w:spacing w:line="360" w:lineRule="atLeast"/>
              <w:ind w:left="-2" w:firstLine="2"/>
              <w:jc w:val="center"/>
            </w:pPr>
            <w:r w:rsidRPr="00BF1D5C">
              <w:t>–(S</w:t>
            </w:r>
            <w:r w:rsidRPr="00BF1D5C">
              <w:rPr>
                <w:vertAlign w:val="subscript"/>
              </w:rPr>
              <w:t xml:space="preserve"> T</w:t>
            </w:r>
            <w:r w:rsidRPr="00BF1D5C">
              <w:t xml:space="preserve"> – 50)</w:t>
            </w:r>
          </w:p>
        </w:tc>
        <w:tc>
          <w:tcPr>
            <w:tcW w:w="1586" w:type="dxa"/>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50)</w:t>
            </w:r>
          </w:p>
        </w:tc>
        <w:tc>
          <w:tcPr>
            <w:tcW w:w="1586" w:type="dxa"/>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50)</w:t>
            </w:r>
          </w:p>
        </w:tc>
      </w:tr>
      <w:tr w:rsidR="004C11D2" w:rsidRPr="00BF1D5C" w:rsidTr="009A2F4D">
        <w:tblPrEx>
          <w:tblCellMar>
            <w:top w:w="0" w:type="dxa"/>
            <w:bottom w:w="0" w:type="dxa"/>
          </w:tblCellMar>
        </w:tblPrEx>
        <w:trPr>
          <w:cantSplit/>
        </w:trPr>
        <w:tc>
          <w:tcPr>
            <w:tcW w:w="2108" w:type="dxa"/>
          </w:tcPr>
          <w:p w:rsidR="004C11D2" w:rsidRPr="00BF1D5C" w:rsidRDefault="004C11D2" w:rsidP="009A2F4D">
            <w:pPr>
              <w:tabs>
                <w:tab w:val="left" w:pos="0"/>
              </w:tabs>
              <w:spacing w:line="360" w:lineRule="atLeast"/>
              <w:ind w:left="10" w:right="-168" w:hanging="10"/>
            </w:pPr>
            <w:r w:rsidRPr="00BF1D5C">
              <w:t>Write call, X = $60</w:t>
            </w:r>
          </w:p>
        </w:tc>
        <w:tc>
          <w:tcPr>
            <w:tcW w:w="1324" w:type="dxa"/>
          </w:tcPr>
          <w:p w:rsidR="004C11D2" w:rsidRPr="00BF1D5C" w:rsidRDefault="004C11D2" w:rsidP="009A2F4D">
            <w:pPr>
              <w:tabs>
                <w:tab w:val="left" w:pos="0"/>
              </w:tabs>
              <w:spacing w:line="360" w:lineRule="atLeast"/>
              <w:ind w:left="-28" w:firstLine="28"/>
              <w:jc w:val="center"/>
            </w:pPr>
            <w:r w:rsidRPr="00BF1D5C">
              <w:t>0</w:t>
            </w:r>
          </w:p>
        </w:tc>
        <w:tc>
          <w:tcPr>
            <w:tcW w:w="1586" w:type="dxa"/>
          </w:tcPr>
          <w:p w:rsidR="004C11D2" w:rsidRPr="00BF1D5C" w:rsidRDefault="004C11D2" w:rsidP="009A2F4D">
            <w:pPr>
              <w:tabs>
                <w:tab w:val="left" w:pos="0"/>
              </w:tabs>
              <w:spacing w:line="360" w:lineRule="atLeast"/>
              <w:ind w:left="-2" w:firstLine="2"/>
              <w:jc w:val="center"/>
            </w:pPr>
            <w:r w:rsidRPr="00BF1D5C">
              <w:t>0</w:t>
            </w:r>
          </w:p>
        </w:tc>
        <w:tc>
          <w:tcPr>
            <w:tcW w:w="1586" w:type="dxa"/>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60)</w:t>
            </w:r>
          </w:p>
        </w:tc>
        <w:tc>
          <w:tcPr>
            <w:tcW w:w="1586" w:type="dxa"/>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60)</w:t>
            </w:r>
          </w:p>
        </w:tc>
      </w:tr>
      <w:tr w:rsidR="004C11D2" w:rsidRPr="00BF1D5C" w:rsidTr="009A2F4D">
        <w:tblPrEx>
          <w:tblCellMar>
            <w:top w:w="0" w:type="dxa"/>
            <w:bottom w:w="0" w:type="dxa"/>
          </w:tblCellMar>
        </w:tblPrEx>
        <w:trPr>
          <w:cantSplit/>
          <w:trHeight w:hRule="exact" w:val="400"/>
        </w:trPr>
        <w:tc>
          <w:tcPr>
            <w:tcW w:w="2108" w:type="dxa"/>
            <w:tcBorders>
              <w:bottom w:val="single" w:sz="6" w:space="0" w:color="auto"/>
            </w:tcBorders>
          </w:tcPr>
          <w:p w:rsidR="004C11D2" w:rsidRPr="00BF1D5C" w:rsidRDefault="004C11D2" w:rsidP="009A2F4D">
            <w:pPr>
              <w:tabs>
                <w:tab w:val="left" w:pos="0"/>
              </w:tabs>
              <w:spacing w:line="360" w:lineRule="atLeast"/>
              <w:ind w:left="10" w:right="-168" w:hanging="10"/>
            </w:pPr>
            <w:r w:rsidRPr="00BF1D5C">
              <w:t>Buy call, X = $110</w:t>
            </w:r>
          </w:p>
        </w:tc>
        <w:tc>
          <w:tcPr>
            <w:tcW w:w="1324" w:type="dxa"/>
            <w:tcBorders>
              <w:bottom w:val="single" w:sz="6" w:space="0" w:color="auto"/>
            </w:tcBorders>
          </w:tcPr>
          <w:p w:rsidR="004C11D2" w:rsidRPr="00BF1D5C" w:rsidRDefault="004C11D2" w:rsidP="009A2F4D">
            <w:pPr>
              <w:tabs>
                <w:tab w:val="left" w:pos="0"/>
              </w:tabs>
              <w:spacing w:line="360" w:lineRule="atLeast"/>
              <w:ind w:left="-28" w:firstLine="28"/>
              <w:jc w:val="center"/>
            </w:pPr>
            <w:r w:rsidRPr="00BF1D5C">
              <w:t>0</w:t>
            </w:r>
          </w:p>
        </w:tc>
        <w:tc>
          <w:tcPr>
            <w:tcW w:w="1586" w:type="dxa"/>
            <w:tcBorders>
              <w:bottom w:val="single" w:sz="6" w:space="0" w:color="auto"/>
            </w:tcBorders>
          </w:tcPr>
          <w:p w:rsidR="004C11D2" w:rsidRPr="00BF1D5C" w:rsidRDefault="004C11D2" w:rsidP="009A2F4D">
            <w:pPr>
              <w:tabs>
                <w:tab w:val="left" w:pos="0"/>
              </w:tabs>
              <w:spacing w:line="360" w:lineRule="atLeast"/>
              <w:ind w:left="-2" w:firstLine="2"/>
              <w:jc w:val="center"/>
            </w:pPr>
            <w:r w:rsidRPr="00BF1D5C">
              <w:t>0</w:t>
            </w:r>
          </w:p>
        </w:tc>
        <w:tc>
          <w:tcPr>
            <w:tcW w:w="1586" w:type="dxa"/>
            <w:tcBorders>
              <w:bottom w:val="single" w:sz="6" w:space="0" w:color="auto"/>
            </w:tcBorders>
          </w:tcPr>
          <w:p w:rsidR="004C11D2" w:rsidRPr="00BF1D5C" w:rsidRDefault="004C11D2" w:rsidP="009A2F4D">
            <w:pPr>
              <w:tabs>
                <w:tab w:val="left" w:pos="0"/>
              </w:tabs>
              <w:spacing w:line="360" w:lineRule="atLeast"/>
              <w:jc w:val="center"/>
            </w:pPr>
            <w:r w:rsidRPr="00BF1D5C">
              <w:t>0</w:t>
            </w:r>
          </w:p>
        </w:tc>
        <w:tc>
          <w:tcPr>
            <w:tcW w:w="1586" w:type="dxa"/>
            <w:tcBorders>
              <w:bottom w:val="single" w:sz="6" w:space="0" w:color="auto"/>
            </w:tcBorders>
          </w:tcPr>
          <w:p w:rsidR="004C11D2" w:rsidRPr="00BF1D5C" w:rsidRDefault="004C11D2" w:rsidP="009A2F4D">
            <w:pPr>
              <w:tabs>
                <w:tab w:val="left" w:pos="0"/>
              </w:tabs>
              <w:spacing w:line="360" w:lineRule="atLeast"/>
              <w:jc w:val="center"/>
            </w:pPr>
            <w:r w:rsidRPr="00BF1D5C">
              <w:t>S</w:t>
            </w:r>
            <w:r w:rsidRPr="00BF1D5C">
              <w:rPr>
                <w:vertAlign w:val="subscript"/>
              </w:rPr>
              <w:t xml:space="preserve"> T</w:t>
            </w:r>
            <w:r w:rsidRPr="00BF1D5C">
              <w:t xml:space="preserve"> – 110</w:t>
            </w:r>
          </w:p>
        </w:tc>
      </w:tr>
      <w:tr w:rsidR="004C11D2" w:rsidRPr="00BF1D5C" w:rsidTr="009A2F4D">
        <w:tblPrEx>
          <w:tblCellMar>
            <w:top w:w="0" w:type="dxa"/>
            <w:bottom w:w="0" w:type="dxa"/>
          </w:tblCellMar>
        </w:tblPrEx>
        <w:trPr>
          <w:cantSplit/>
        </w:trPr>
        <w:tc>
          <w:tcPr>
            <w:tcW w:w="2108" w:type="dxa"/>
            <w:tcBorders>
              <w:top w:val="single" w:sz="6" w:space="0" w:color="auto"/>
            </w:tcBorders>
          </w:tcPr>
          <w:p w:rsidR="004C11D2" w:rsidRPr="00BF1D5C" w:rsidRDefault="004C11D2" w:rsidP="009A2F4D">
            <w:pPr>
              <w:tabs>
                <w:tab w:val="left" w:pos="0"/>
              </w:tabs>
              <w:spacing w:line="360" w:lineRule="atLeast"/>
              <w:ind w:left="10" w:hanging="10"/>
            </w:pPr>
            <w:r w:rsidRPr="00BF1D5C">
              <w:t>Total</w:t>
            </w:r>
          </w:p>
        </w:tc>
        <w:tc>
          <w:tcPr>
            <w:tcW w:w="1324" w:type="dxa"/>
            <w:tcBorders>
              <w:top w:val="single" w:sz="6" w:space="0" w:color="auto"/>
            </w:tcBorders>
          </w:tcPr>
          <w:p w:rsidR="004C11D2" w:rsidRPr="00BF1D5C" w:rsidRDefault="004C11D2" w:rsidP="009A2F4D">
            <w:pPr>
              <w:tabs>
                <w:tab w:val="left" w:pos="0"/>
              </w:tabs>
              <w:spacing w:line="360" w:lineRule="atLeast"/>
              <w:ind w:left="-28" w:firstLine="28"/>
              <w:jc w:val="center"/>
            </w:pPr>
            <w:r w:rsidRPr="00BF1D5C">
              <w:t>S</w:t>
            </w:r>
            <w:r w:rsidRPr="00BF1D5C">
              <w:rPr>
                <w:vertAlign w:val="subscript"/>
              </w:rPr>
              <w:t xml:space="preserve"> T</w:t>
            </w:r>
          </w:p>
        </w:tc>
        <w:tc>
          <w:tcPr>
            <w:tcW w:w="1586" w:type="dxa"/>
            <w:tcBorders>
              <w:top w:val="single" w:sz="6" w:space="0" w:color="auto"/>
            </w:tcBorders>
          </w:tcPr>
          <w:p w:rsidR="004C11D2" w:rsidRPr="00BF1D5C" w:rsidRDefault="004C11D2" w:rsidP="009A2F4D">
            <w:pPr>
              <w:tabs>
                <w:tab w:val="left" w:pos="0"/>
              </w:tabs>
              <w:spacing w:line="360" w:lineRule="atLeast"/>
              <w:ind w:left="-2" w:firstLine="2"/>
              <w:jc w:val="center"/>
            </w:pPr>
            <w:r w:rsidRPr="00BF1D5C">
              <w:t>50</w:t>
            </w:r>
          </w:p>
        </w:tc>
        <w:tc>
          <w:tcPr>
            <w:tcW w:w="1586" w:type="dxa"/>
            <w:tcBorders>
              <w:top w:val="single" w:sz="6" w:space="0" w:color="auto"/>
            </w:tcBorders>
          </w:tcPr>
          <w:p w:rsidR="004C11D2" w:rsidRPr="00BF1D5C" w:rsidRDefault="004C11D2" w:rsidP="009A2F4D">
            <w:pPr>
              <w:tabs>
                <w:tab w:val="left" w:pos="0"/>
              </w:tabs>
              <w:spacing w:line="360" w:lineRule="atLeast"/>
              <w:jc w:val="center"/>
            </w:pPr>
            <w:r w:rsidRPr="00BF1D5C">
              <w:t>110 – S</w:t>
            </w:r>
            <w:r w:rsidRPr="00BF1D5C">
              <w:rPr>
                <w:vertAlign w:val="subscript"/>
              </w:rPr>
              <w:t xml:space="preserve"> T</w:t>
            </w:r>
            <w:r w:rsidRPr="00BF1D5C">
              <w:t xml:space="preserve"> </w:t>
            </w:r>
          </w:p>
        </w:tc>
        <w:tc>
          <w:tcPr>
            <w:tcW w:w="1586" w:type="dxa"/>
            <w:tcBorders>
              <w:top w:val="single" w:sz="6" w:space="0" w:color="auto"/>
            </w:tcBorders>
          </w:tcPr>
          <w:p w:rsidR="004C11D2" w:rsidRPr="00BF1D5C" w:rsidRDefault="004C11D2" w:rsidP="009A2F4D">
            <w:pPr>
              <w:tabs>
                <w:tab w:val="left" w:pos="0"/>
              </w:tabs>
              <w:spacing w:line="360" w:lineRule="atLeast"/>
              <w:jc w:val="center"/>
            </w:pPr>
            <w:r w:rsidRPr="00BF1D5C">
              <w:t>0</w:t>
            </w:r>
          </w:p>
        </w:tc>
      </w:tr>
    </w:tbl>
    <w:p w:rsidR="004C11D2" w:rsidRPr="00BF1D5C" w:rsidRDefault="004C11D2" w:rsidP="004C11D2">
      <w:pPr>
        <w:tabs>
          <w:tab w:val="left" w:pos="0"/>
        </w:tabs>
        <w:spacing w:before="120" w:line="240" w:lineRule="auto"/>
        <w:ind w:left="547" w:hanging="7"/>
      </w:pPr>
      <w:r w:rsidRPr="00BF1D5C">
        <w:t>The investor is making a volatility bet.  Profits will be highest when volatility is low and the stock price S</w:t>
      </w:r>
      <w:r w:rsidRPr="00BF1D5C">
        <w:rPr>
          <w:vertAlign w:val="subscript"/>
        </w:rPr>
        <w:t xml:space="preserve"> T</w:t>
      </w:r>
      <w:r w:rsidRPr="00BF1D5C">
        <w:t xml:space="preserve"> is between $50 and $60.</w:t>
      </w:r>
    </w:p>
    <w:p w:rsidR="00291305" w:rsidRPr="00BF1D5C" w:rsidRDefault="00291305"/>
    <w:p w:rsidR="004C11D2" w:rsidRPr="00BF1D5C" w:rsidRDefault="004C11D2">
      <w:r w:rsidRPr="00BF1D5C">
        <w:t>Chapter 20 CFA</w:t>
      </w:r>
    </w:p>
    <w:p w:rsidR="004C11D2" w:rsidRPr="00BF1D5C" w:rsidRDefault="004C11D2" w:rsidP="004C11D2">
      <w:pPr>
        <w:widowControl w:val="0"/>
        <w:tabs>
          <w:tab w:val="left" w:pos="0"/>
          <w:tab w:val="left" w:pos="540"/>
        </w:tabs>
        <w:autoSpaceDE w:val="0"/>
        <w:autoSpaceDN w:val="0"/>
        <w:adjustRightInd w:val="0"/>
        <w:spacing w:after="120" w:line="240" w:lineRule="auto"/>
        <w:ind w:left="1080" w:hanging="1080"/>
      </w:pPr>
      <w:r w:rsidRPr="00BF1D5C">
        <w:t>3.</w:t>
      </w:r>
      <w:r w:rsidRPr="00BF1D5C">
        <w:tab/>
      </w:r>
      <w:proofErr w:type="spellStart"/>
      <w:r w:rsidRPr="00BF1D5C">
        <w:t>i</w:t>
      </w:r>
      <w:proofErr w:type="spellEnd"/>
      <w:r w:rsidRPr="00BF1D5C">
        <w:t>.</w:t>
      </w:r>
      <w:r w:rsidRPr="00BF1D5C">
        <w:tab/>
        <w:t>Conversion value of a convertible bond is the value of the security if it is converted immediately.  That is:</w:t>
      </w:r>
    </w:p>
    <w:p w:rsidR="004C11D2" w:rsidRPr="00BF1D5C" w:rsidRDefault="004C11D2" w:rsidP="004C11D2">
      <w:pPr>
        <w:widowControl w:val="0"/>
        <w:tabs>
          <w:tab w:val="left" w:pos="0"/>
        </w:tabs>
        <w:autoSpaceDE w:val="0"/>
        <w:autoSpaceDN w:val="0"/>
        <w:adjustRightInd w:val="0"/>
        <w:spacing w:after="120" w:line="240" w:lineRule="auto"/>
      </w:pPr>
      <w:r w:rsidRPr="00BF1D5C">
        <w:tab/>
        <w:t xml:space="preserve">      Conversion value = market price of the common stock × conversion ratio =</w:t>
      </w:r>
    </w:p>
    <w:p w:rsidR="004C11D2" w:rsidRPr="00BF1D5C" w:rsidRDefault="004C11D2" w:rsidP="004C11D2">
      <w:pPr>
        <w:widowControl w:val="0"/>
        <w:tabs>
          <w:tab w:val="left" w:pos="0"/>
        </w:tabs>
        <w:autoSpaceDE w:val="0"/>
        <w:autoSpaceDN w:val="0"/>
        <w:adjustRightInd w:val="0"/>
        <w:spacing w:line="240" w:lineRule="auto"/>
        <w:ind w:left="3240"/>
      </w:pPr>
      <w:r w:rsidRPr="00BF1D5C">
        <w:t>$40 × 22 = $880</w:t>
      </w:r>
    </w:p>
    <w:p w:rsidR="004C11D2" w:rsidRPr="00BF1D5C" w:rsidRDefault="004C11D2" w:rsidP="004C11D2">
      <w:pPr>
        <w:tabs>
          <w:tab w:val="left" w:pos="0"/>
        </w:tabs>
        <w:spacing w:line="240" w:lineRule="auto"/>
      </w:pPr>
    </w:p>
    <w:p w:rsidR="004C11D2" w:rsidRPr="00BF1D5C" w:rsidRDefault="004C11D2" w:rsidP="004C11D2">
      <w:pPr>
        <w:widowControl w:val="0"/>
        <w:tabs>
          <w:tab w:val="left" w:pos="0"/>
        </w:tabs>
        <w:autoSpaceDE w:val="0"/>
        <w:autoSpaceDN w:val="0"/>
        <w:adjustRightInd w:val="0"/>
        <w:spacing w:after="120" w:line="240" w:lineRule="auto"/>
        <w:ind w:left="1080" w:hanging="540"/>
      </w:pPr>
      <w:r w:rsidRPr="00BF1D5C">
        <w:t>ii.</w:t>
      </w:r>
      <w:r w:rsidRPr="00BF1D5C">
        <w:tab/>
        <w:t>Market conversion price is the price that an investor effectively pays for the common stock if the convertible bond is purchased:</w:t>
      </w:r>
    </w:p>
    <w:p w:rsidR="004C11D2" w:rsidRPr="00BF1D5C" w:rsidRDefault="004C11D2" w:rsidP="004C11D2">
      <w:pPr>
        <w:widowControl w:val="0"/>
        <w:tabs>
          <w:tab w:val="left" w:pos="0"/>
        </w:tabs>
        <w:autoSpaceDE w:val="0"/>
        <w:autoSpaceDN w:val="0"/>
        <w:adjustRightInd w:val="0"/>
        <w:spacing w:after="120" w:line="240" w:lineRule="auto"/>
      </w:pPr>
      <w:r w:rsidRPr="00BF1D5C">
        <w:t xml:space="preserve">            Market conversion price = market price of the convertible bond/conversion ratio = </w:t>
      </w:r>
    </w:p>
    <w:p w:rsidR="004C11D2" w:rsidRPr="00BF1D5C" w:rsidRDefault="004C11D2" w:rsidP="004C11D2">
      <w:pPr>
        <w:widowControl w:val="0"/>
        <w:tabs>
          <w:tab w:val="left" w:pos="0"/>
        </w:tabs>
        <w:autoSpaceDE w:val="0"/>
        <w:autoSpaceDN w:val="0"/>
        <w:adjustRightInd w:val="0"/>
        <w:spacing w:line="240" w:lineRule="auto"/>
        <w:ind w:left="2160"/>
      </w:pPr>
      <w:r w:rsidRPr="00BF1D5C">
        <w:t>$1,050/22 = $47.73</w:t>
      </w:r>
    </w:p>
    <w:p w:rsidR="004C11D2" w:rsidRPr="00BF1D5C" w:rsidRDefault="004C11D2" w:rsidP="004C11D2">
      <w:pPr>
        <w:tabs>
          <w:tab w:val="left" w:pos="0"/>
          <w:tab w:val="left" w:pos="540"/>
          <w:tab w:val="left" w:pos="1620"/>
        </w:tabs>
        <w:spacing w:line="360" w:lineRule="auto"/>
        <w:ind w:left="1080" w:hanging="1080"/>
      </w:pPr>
      <w:r w:rsidRPr="00BF1D5C">
        <w:t>5.</w:t>
      </w:r>
      <w:r w:rsidRPr="00BF1D5C">
        <w:tab/>
        <w:t>a.</w:t>
      </w:r>
      <w:r w:rsidRPr="00BF1D5C">
        <w:tab/>
        <w:t>(ii)</w:t>
      </w:r>
      <w:r w:rsidRPr="00BF1D5C">
        <w:tab/>
        <w:t>[Profit = $40 – $25 + $2.50 – $4.00]</w:t>
      </w:r>
    </w:p>
    <w:p w:rsidR="004C11D2" w:rsidRPr="00BF1D5C" w:rsidRDefault="004C11D2" w:rsidP="004C11D2">
      <w:pPr>
        <w:tabs>
          <w:tab w:val="left" w:pos="0"/>
        </w:tabs>
        <w:spacing w:line="360" w:lineRule="auto"/>
        <w:ind w:left="1080" w:hanging="540"/>
      </w:pPr>
      <w:r w:rsidRPr="00BF1D5C">
        <w:t>b.</w:t>
      </w:r>
      <w:r w:rsidRPr="00BF1D5C">
        <w:tab/>
        <w:t>(</w:t>
      </w:r>
      <w:proofErr w:type="spellStart"/>
      <w:r w:rsidRPr="00BF1D5C">
        <w:t>i</w:t>
      </w:r>
      <w:proofErr w:type="spellEnd"/>
      <w:r w:rsidRPr="00BF1D5C">
        <w:t>)</w:t>
      </w:r>
    </w:p>
    <w:p w:rsidR="0010387E" w:rsidRPr="00BF1D5C" w:rsidRDefault="0010387E" w:rsidP="004C11D2">
      <w:pPr>
        <w:tabs>
          <w:tab w:val="left" w:pos="0"/>
        </w:tabs>
        <w:spacing w:line="360" w:lineRule="auto"/>
        <w:ind w:left="1080" w:hanging="540"/>
      </w:pPr>
    </w:p>
    <w:p w:rsidR="0010387E" w:rsidRPr="00BF1D5C" w:rsidRDefault="0010387E" w:rsidP="004C11D2">
      <w:pPr>
        <w:tabs>
          <w:tab w:val="left" w:pos="0"/>
        </w:tabs>
        <w:spacing w:line="360" w:lineRule="auto"/>
        <w:ind w:left="1080" w:hanging="540"/>
      </w:pPr>
      <w:r w:rsidRPr="00BF1D5C">
        <w:t>Chapter 21</w:t>
      </w:r>
    </w:p>
    <w:p w:rsidR="0010387E" w:rsidRPr="00BF1D5C" w:rsidRDefault="0010387E" w:rsidP="0010387E">
      <w:pPr>
        <w:pStyle w:val="BodyTextIndent3"/>
        <w:rPr>
          <w:sz w:val="22"/>
          <w:szCs w:val="22"/>
        </w:rPr>
      </w:pPr>
      <w:r w:rsidRPr="00BF1D5C">
        <w:rPr>
          <w:sz w:val="22"/>
          <w:szCs w:val="22"/>
        </w:rPr>
        <w:t>2.</w:t>
      </w:r>
      <w:r w:rsidRPr="00BF1D5C">
        <w:rPr>
          <w:sz w:val="22"/>
          <w:szCs w:val="22"/>
        </w:rPr>
        <w:tab/>
        <w:t>A $1 increase in a call option’s exercise price would lead to a decrease in the option’s value of less than $1.  The change in the call price would equal $1 only if: (</w:t>
      </w:r>
      <w:proofErr w:type="spellStart"/>
      <w:r w:rsidRPr="00BF1D5C">
        <w:rPr>
          <w:sz w:val="22"/>
          <w:szCs w:val="22"/>
        </w:rPr>
        <w:t>i</w:t>
      </w:r>
      <w:proofErr w:type="spellEnd"/>
      <w:r w:rsidRPr="00BF1D5C">
        <w:rPr>
          <w:sz w:val="22"/>
          <w:szCs w:val="22"/>
        </w:rPr>
        <w:t xml:space="preserve">) there </w:t>
      </w:r>
      <w:proofErr w:type="gramStart"/>
      <w:r w:rsidRPr="00BF1D5C">
        <w:rPr>
          <w:sz w:val="22"/>
          <w:szCs w:val="22"/>
        </w:rPr>
        <w:t>were a 100% probability</w:t>
      </w:r>
      <w:proofErr w:type="gramEnd"/>
      <w:r w:rsidRPr="00BF1D5C">
        <w:rPr>
          <w:sz w:val="22"/>
          <w:szCs w:val="22"/>
        </w:rPr>
        <w:t xml:space="preserve"> that the call would be exercised, and (ii) the interest rate were zero.</w:t>
      </w:r>
    </w:p>
    <w:p w:rsidR="0010387E" w:rsidRPr="00BF1D5C" w:rsidRDefault="0010387E" w:rsidP="005D4D22">
      <w:pPr>
        <w:spacing w:line="240" w:lineRule="auto"/>
        <w:ind w:left="540" w:hanging="540"/>
      </w:pPr>
      <w:r w:rsidRPr="00BF1D5C">
        <w:lastRenderedPageBreak/>
        <w:t>5.</w:t>
      </w:r>
      <w:r w:rsidRPr="00BF1D5C">
        <w:tab/>
        <w:t>A call option with a high exercise price has a lower hedge ratio.  This call option is less in the money.  Both d</w:t>
      </w:r>
      <w:r w:rsidRPr="00BF1D5C">
        <w:rPr>
          <w:vertAlign w:val="subscript"/>
        </w:rPr>
        <w:t>1</w:t>
      </w:r>
      <w:r w:rsidRPr="00BF1D5C">
        <w:t xml:space="preserve"> and </w:t>
      </w:r>
      <w:proofErr w:type="gramStart"/>
      <w:r w:rsidRPr="00BF1D5C">
        <w:t>N(</w:t>
      </w:r>
      <w:proofErr w:type="gramEnd"/>
      <w:r w:rsidRPr="00BF1D5C">
        <w:t>d</w:t>
      </w:r>
      <w:r w:rsidRPr="00BF1D5C">
        <w:rPr>
          <w:vertAlign w:val="subscript"/>
        </w:rPr>
        <w:t>1</w:t>
      </w:r>
      <w:r w:rsidRPr="00BF1D5C">
        <w:t>) are lower when X is higher.</w:t>
      </w:r>
    </w:p>
    <w:p w:rsidR="0010387E" w:rsidRPr="00BF1D5C" w:rsidRDefault="0010387E" w:rsidP="005D4D22">
      <w:pPr>
        <w:tabs>
          <w:tab w:val="left" w:pos="540"/>
        </w:tabs>
        <w:spacing w:line="220" w:lineRule="exact"/>
        <w:ind w:left="1080" w:hanging="540"/>
      </w:pPr>
    </w:p>
    <w:p w:rsidR="0010387E" w:rsidRPr="00BF1D5C" w:rsidRDefault="0010387E" w:rsidP="005D4D22">
      <w:pPr>
        <w:tabs>
          <w:tab w:val="left" w:pos="540"/>
        </w:tabs>
        <w:spacing w:line="220" w:lineRule="exact"/>
        <w:ind w:left="1080" w:hanging="540"/>
      </w:pPr>
    </w:p>
    <w:p w:rsidR="0010387E" w:rsidRPr="00BF1D5C" w:rsidRDefault="0010387E" w:rsidP="005D4D22">
      <w:pPr>
        <w:tabs>
          <w:tab w:val="left" w:pos="540"/>
        </w:tabs>
        <w:spacing w:line="240" w:lineRule="auto"/>
        <w:ind w:left="1080" w:hanging="540"/>
      </w:pPr>
      <w:r w:rsidRPr="00BF1D5C">
        <w:t>6.</w:t>
      </w:r>
      <w:r w:rsidRPr="00BF1D5C">
        <w:tab/>
        <w:t>a.</w:t>
      </w:r>
      <w:r w:rsidRPr="00BF1D5C">
        <w:tab/>
        <w:t>Put A must be written on the stock with the lower price.  Otherwise, given the lower volatility of Stock A, Put A would sell for less than Put B.</w:t>
      </w:r>
    </w:p>
    <w:p w:rsidR="0010387E" w:rsidRPr="00BF1D5C" w:rsidRDefault="0010387E" w:rsidP="005D4D22">
      <w:pPr>
        <w:spacing w:line="220" w:lineRule="exact"/>
        <w:ind w:hanging="540"/>
      </w:pPr>
    </w:p>
    <w:p w:rsidR="0010387E" w:rsidRPr="00BF1D5C" w:rsidRDefault="0010387E" w:rsidP="005D4D22">
      <w:pPr>
        <w:spacing w:line="240" w:lineRule="auto"/>
        <w:ind w:left="1080" w:hanging="540"/>
      </w:pPr>
      <w:r w:rsidRPr="00BF1D5C">
        <w:t>b.</w:t>
      </w:r>
      <w:r w:rsidRPr="00BF1D5C">
        <w:tab/>
        <w:t>Put B must be written on the stock with the lower price.  This would explain its higher price.</w:t>
      </w:r>
    </w:p>
    <w:p w:rsidR="0010387E" w:rsidRPr="00BF1D5C" w:rsidRDefault="0010387E" w:rsidP="005D4D22">
      <w:pPr>
        <w:spacing w:line="220" w:lineRule="exact"/>
        <w:ind w:hanging="540"/>
      </w:pPr>
    </w:p>
    <w:p w:rsidR="0010387E" w:rsidRPr="00BF1D5C" w:rsidRDefault="0010387E" w:rsidP="005D4D22">
      <w:pPr>
        <w:spacing w:line="240" w:lineRule="auto"/>
        <w:ind w:left="1080" w:right="90" w:hanging="540"/>
      </w:pPr>
      <w:r w:rsidRPr="00BF1D5C">
        <w:t>c.</w:t>
      </w:r>
      <w:r w:rsidRPr="00BF1D5C">
        <w:tab/>
        <w:t>Call B must have the lower time to expiration.  Despite the higher price of Stock B, Call B is cheaper than Call A.  This can be explained by a lower time to expiration.</w:t>
      </w:r>
    </w:p>
    <w:p w:rsidR="0010387E" w:rsidRPr="00BF1D5C" w:rsidRDefault="0010387E" w:rsidP="005D4D22">
      <w:pPr>
        <w:spacing w:line="220" w:lineRule="exact"/>
        <w:ind w:hanging="540"/>
      </w:pPr>
    </w:p>
    <w:p w:rsidR="0010387E" w:rsidRPr="00BF1D5C" w:rsidRDefault="0010387E" w:rsidP="005D4D22">
      <w:pPr>
        <w:pStyle w:val="BodyTextIndent2"/>
        <w:ind w:left="1080" w:hanging="540"/>
      </w:pPr>
      <w:r w:rsidRPr="00BF1D5C">
        <w:t>d.</w:t>
      </w:r>
      <w:r w:rsidRPr="00BF1D5C">
        <w:tab/>
        <w:t>Call B must be written on the stock with higher volatility.  This would explain its higher price.</w:t>
      </w:r>
    </w:p>
    <w:p w:rsidR="0010387E" w:rsidRPr="00BF1D5C" w:rsidRDefault="0010387E" w:rsidP="005D4D22">
      <w:pPr>
        <w:spacing w:line="220" w:lineRule="exact"/>
        <w:ind w:hanging="540"/>
      </w:pPr>
    </w:p>
    <w:p w:rsidR="0010387E" w:rsidRPr="00BF1D5C" w:rsidRDefault="0010387E" w:rsidP="005D4D22">
      <w:pPr>
        <w:spacing w:line="240" w:lineRule="auto"/>
        <w:ind w:left="1080" w:hanging="540"/>
      </w:pPr>
      <w:r w:rsidRPr="00BF1D5C">
        <w:t>e.</w:t>
      </w:r>
      <w:r w:rsidRPr="00BF1D5C">
        <w:tab/>
        <w:t>Call A must be written on the stock with higher volatility.  This would explain its higher price.</w:t>
      </w:r>
    </w:p>
    <w:p w:rsidR="0010387E" w:rsidRPr="00BF1D5C" w:rsidRDefault="0010387E" w:rsidP="005D4D22">
      <w:pPr>
        <w:spacing w:after="120" w:line="240" w:lineRule="auto"/>
        <w:ind w:left="547" w:hanging="540"/>
        <w:rPr>
          <w:lang w:val="pt-BR"/>
        </w:rPr>
      </w:pPr>
      <w:r w:rsidRPr="00BF1D5C">
        <w:rPr>
          <w:lang w:val="pt-BR"/>
        </w:rPr>
        <w:t>11.</w:t>
      </w:r>
      <w:r w:rsidRPr="00BF1D5C">
        <w:rPr>
          <w:lang w:val="pt-BR"/>
        </w:rPr>
        <w:tab/>
        <w:t>d</w:t>
      </w:r>
      <w:r w:rsidRPr="00BF1D5C">
        <w:rPr>
          <w:vertAlign w:val="subscript"/>
          <w:lang w:val="pt-BR"/>
        </w:rPr>
        <w:t>1</w:t>
      </w:r>
      <w:r w:rsidRPr="00BF1D5C">
        <w:rPr>
          <w:lang w:val="pt-BR"/>
        </w:rPr>
        <w:t xml:space="preserve"> = 0.2192 </w:t>
      </w:r>
      <w:r w:rsidRPr="00BF1D5C">
        <w:sym w:font="Symbol" w:char="F0DE"/>
      </w:r>
      <w:r w:rsidRPr="00BF1D5C">
        <w:rPr>
          <w:lang w:val="pt-BR"/>
        </w:rPr>
        <w:t xml:space="preserve"> N(d</w:t>
      </w:r>
      <w:r w:rsidRPr="00BF1D5C">
        <w:rPr>
          <w:vertAlign w:val="subscript"/>
          <w:lang w:val="pt-BR"/>
        </w:rPr>
        <w:t>1</w:t>
      </w:r>
      <w:r w:rsidRPr="00BF1D5C">
        <w:rPr>
          <w:lang w:val="pt-BR"/>
        </w:rPr>
        <w:t>) = 0.5868</w:t>
      </w:r>
    </w:p>
    <w:p w:rsidR="0010387E" w:rsidRPr="00BF1D5C" w:rsidRDefault="0010387E" w:rsidP="005D4D22">
      <w:pPr>
        <w:spacing w:after="120" w:line="240" w:lineRule="auto"/>
        <w:ind w:left="547" w:hanging="540"/>
        <w:rPr>
          <w:lang w:val="pt-BR"/>
        </w:rPr>
      </w:pPr>
      <w:r w:rsidRPr="00BF1D5C">
        <w:rPr>
          <w:lang w:val="pt-BR"/>
        </w:rPr>
        <w:t>d</w:t>
      </w:r>
      <w:r w:rsidRPr="00BF1D5C">
        <w:rPr>
          <w:vertAlign w:val="subscript"/>
          <w:lang w:val="pt-BR"/>
        </w:rPr>
        <w:t xml:space="preserve"> 2</w:t>
      </w:r>
      <w:r w:rsidRPr="00BF1D5C">
        <w:rPr>
          <w:lang w:val="pt-BR"/>
        </w:rPr>
        <w:t xml:space="preserve"> = –0.1344 </w:t>
      </w:r>
      <w:r w:rsidRPr="00BF1D5C">
        <w:sym w:font="Symbol" w:char="F0DE"/>
      </w:r>
      <w:r w:rsidRPr="00BF1D5C">
        <w:rPr>
          <w:lang w:val="pt-BR"/>
        </w:rPr>
        <w:t xml:space="preserve"> N(d</w:t>
      </w:r>
      <w:r w:rsidRPr="00BF1D5C">
        <w:rPr>
          <w:vertAlign w:val="subscript"/>
          <w:lang w:val="pt-BR"/>
        </w:rPr>
        <w:t xml:space="preserve"> 2</w:t>
      </w:r>
      <w:r w:rsidRPr="00BF1D5C">
        <w:rPr>
          <w:lang w:val="pt-BR"/>
        </w:rPr>
        <w:t>) = 0.4465</w:t>
      </w:r>
    </w:p>
    <w:p w:rsidR="0010387E" w:rsidRPr="00BF1D5C" w:rsidRDefault="0010387E" w:rsidP="005D4D22">
      <w:pPr>
        <w:spacing w:after="120" w:line="240" w:lineRule="auto"/>
        <w:ind w:left="547" w:hanging="540"/>
        <w:rPr>
          <w:lang w:val="pt-BR"/>
        </w:rPr>
      </w:pPr>
      <w:r w:rsidRPr="00BF1D5C">
        <w:rPr>
          <w:lang w:val="pt-BR"/>
        </w:rPr>
        <w:t>Xe</w:t>
      </w:r>
      <w:r w:rsidRPr="00BF1D5C">
        <w:rPr>
          <w:vertAlign w:val="superscript"/>
        </w:rPr>
        <w:sym w:font="Symbol" w:char="F02D"/>
      </w:r>
      <w:r w:rsidRPr="00BF1D5C">
        <w:rPr>
          <w:vertAlign w:val="superscript"/>
          <w:lang w:val="pt-BR"/>
        </w:rPr>
        <w:t xml:space="preserve"> r T</w:t>
      </w:r>
      <w:r w:rsidRPr="00BF1D5C">
        <w:rPr>
          <w:lang w:val="pt-BR"/>
        </w:rPr>
        <w:t xml:space="preserve"> = 49.2556</w:t>
      </w:r>
    </w:p>
    <w:p w:rsidR="0010387E" w:rsidRPr="00BF1D5C" w:rsidRDefault="0010387E" w:rsidP="005D4D22">
      <w:pPr>
        <w:spacing w:line="240" w:lineRule="auto"/>
        <w:ind w:left="540" w:hanging="540"/>
      </w:pPr>
      <w:r w:rsidRPr="00BF1D5C">
        <w:t>C = $50 × 0.5868 – 49.2556 × 0.4465 = $7.34</w:t>
      </w:r>
    </w:p>
    <w:p w:rsidR="0010387E" w:rsidRPr="00BF1D5C" w:rsidRDefault="0010387E" w:rsidP="005D4D22">
      <w:pPr>
        <w:spacing w:after="120" w:line="240" w:lineRule="auto"/>
        <w:ind w:left="547" w:hanging="540"/>
      </w:pPr>
      <w:r w:rsidRPr="00BF1D5C">
        <w:t>14.</w:t>
      </w:r>
      <w:r w:rsidRPr="00BF1D5C">
        <w:tab/>
        <w:t>According to the Black-</w:t>
      </w:r>
      <w:proofErr w:type="spellStart"/>
      <w:r w:rsidRPr="00BF1D5C">
        <w:t>Scholes</w:t>
      </w:r>
      <w:proofErr w:type="spellEnd"/>
      <w:r w:rsidRPr="00BF1D5C">
        <w:t xml:space="preserve"> model, the call option should be priced at:</w:t>
      </w:r>
    </w:p>
    <w:p w:rsidR="0010387E" w:rsidRPr="00BF1D5C" w:rsidRDefault="0010387E" w:rsidP="005D4D22">
      <w:pPr>
        <w:spacing w:after="120" w:line="240" w:lineRule="auto"/>
        <w:ind w:left="547" w:hanging="540"/>
      </w:pPr>
      <w:r w:rsidRPr="00BF1D5C">
        <w:t xml:space="preserve">[$55 × </w:t>
      </w:r>
      <w:proofErr w:type="gramStart"/>
      <w:r w:rsidRPr="00BF1D5C">
        <w:t>N(</w:t>
      </w:r>
      <w:proofErr w:type="gramEnd"/>
      <w:r w:rsidRPr="00BF1D5C">
        <w:t>d</w:t>
      </w:r>
      <w:r w:rsidRPr="00BF1D5C">
        <w:rPr>
          <w:vertAlign w:val="subscript"/>
        </w:rPr>
        <w:t>1</w:t>
      </w:r>
      <w:r w:rsidRPr="00BF1D5C">
        <w:t xml:space="preserve">)] – [50 × </w:t>
      </w:r>
      <w:proofErr w:type="gramStart"/>
      <w:r w:rsidRPr="00BF1D5C">
        <w:t>N(</w:t>
      </w:r>
      <w:proofErr w:type="gramEnd"/>
      <w:r w:rsidRPr="00BF1D5C">
        <w:t>d</w:t>
      </w:r>
      <w:r w:rsidRPr="00BF1D5C">
        <w:rPr>
          <w:vertAlign w:val="subscript"/>
        </w:rPr>
        <w:t xml:space="preserve"> 2</w:t>
      </w:r>
      <w:r w:rsidRPr="00BF1D5C">
        <w:t>)] = ($55 × 0.6) – ($50 × 0.5) = $8</w:t>
      </w:r>
    </w:p>
    <w:p w:rsidR="0010387E" w:rsidRPr="00BF1D5C" w:rsidRDefault="0010387E" w:rsidP="005D4D22">
      <w:pPr>
        <w:spacing w:line="240" w:lineRule="auto"/>
        <w:ind w:left="540" w:right="-360" w:hanging="540"/>
      </w:pPr>
      <w:r w:rsidRPr="00BF1D5C">
        <w:t>Since the option actually sells for more than $8, implied volatility is greater than 0.30.</w:t>
      </w:r>
    </w:p>
    <w:p w:rsidR="0010387E" w:rsidRPr="00BF1D5C" w:rsidRDefault="0010387E" w:rsidP="005D4D22">
      <w:pPr>
        <w:pStyle w:val="Footer"/>
        <w:tabs>
          <w:tab w:val="clear" w:pos="4320"/>
          <w:tab w:val="clear" w:pos="8640"/>
        </w:tabs>
        <w:spacing w:line="220" w:lineRule="exact"/>
        <w:ind w:hanging="540"/>
        <w:rPr>
          <w:rFonts w:asciiTheme="minorHAnsi" w:hAnsiTheme="minorHAnsi"/>
          <w:sz w:val="22"/>
          <w:szCs w:val="22"/>
        </w:rPr>
      </w:pPr>
    </w:p>
    <w:p w:rsidR="0010387E" w:rsidRPr="00BF1D5C" w:rsidRDefault="0010387E" w:rsidP="005D4D22">
      <w:pPr>
        <w:pStyle w:val="BodyTextIndent3"/>
        <w:ind w:hanging="540"/>
        <w:rPr>
          <w:sz w:val="22"/>
          <w:szCs w:val="22"/>
        </w:rPr>
      </w:pPr>
      <w:r w:rsidRPr="00BF1D5C">
        <w:rPr>
          <w:sz w:val="22"/>
          <w:szCs w:val="22"/>
        </w:rPr>
        <w:t>23.</w:t>
      </w:r>
      <w:r w:rsidRPr="00BF1D5C">
        <w:rPr>
          <w:sz w:val="22"/>
          <w:szCs w:val="22"/>
        </w:rPr>
        <w:tab/>
        <w:t>Implied volatility has increased.  If not, the call price would have fallen as a result of the decrease in stock price.</w:t>
      </w:r>
    </w:p>
    <w:p w:rsidR="0010387E" w:rsidRPr="00BF1D5C" w:rsidRDefault="0010387E" w:rsidP="005D4D22">
      <w:pPr>
        <w:spacing w:line="240" w:lineRule="auto"/>
        <w:ind w:left="540" w:hanging="540"/>
      </w:pPr>
      <w:r w:rsidRPr="00BF1D5C">
        <w:t>26.</w:t>
      </w:r>
      <w:r w:rsidRPr="00BF1D5C">
        <w:tab/>
        <w:t>The hedge ratio approaches 0.  As X decreases, the probability of exercise approaches 0.  [</w:t>
      </w:r>
      <w:proofErr w:type="gramStart"/>
      <w:r w:rsidRPr="00BF1D5C">
        <w:t>N(</w:t>
      </w:r>
      <w:proofErr w:type="gramEnd"/>
      <w:r w:rsidRPr="00BF1D5C">
        <w:t>d</w:t>
      </w:r>
      <w:r w:rsidRPr="00BF1D5C">
        <w:rPr>
          <w:vertAlign w:val="subscript"/>
        </w:rPr>
        <w:t>1</w:t>
      </w:r>
      <w:r w:rsidRPr="00BF1D5C">
        <w:t>) –1] approaches 0 as N(d</w:t>
      </w:r>
      <w:r w:rsidRPr="00BF1D5C">
        <w:rPr>
          <w:vertAlign w:val="subscript"/>
        </w:rPr>
        <w:t>1</w:t>
      </w:r>
      <w:r w:rsidRPr="00BF1D5C">
        <w:t>) approaches 1.</w:t>
      </w:r>
    </w:p>
    <w:p w:rsidR="0010387E" w:rsidRPr="00BF1D5C" w:rsidRDefault="0010387E" w:rsidP="005D4D22">
      <w:pPr>
        <w:spacing w:line="220" w:lineRule="exact"/>
        <w:ind w:hanging="540"/>
      </w:pPr>
    </w:p>
    <w:p w:rsidR="0010387E" w:rsidRPr="00BF1D5C" w:rsidRDefault="0010387E" w:rsidP="005D4D22">
      <w:pPr>
        <w:spacing w:line="240" w:lineRule="auto"/>
        <w:ind w:left="1080" w:hanging="540"/>
      </w:pPr>
      <w:r w:rsidRPr="00BF1D5C">
        <w:t>Chapter 21 CFA</w:t>
      </w:r>
    </w:p>
    <w:p w:rsidR="0010387E" w:rsidRPr="00BF1D5C" w:rsidRDefault="0010387E" w:rsidP="005D4D22">
      <w:pPr>
        <w:tabs>
          <w:tab w:val="left" w:pos="540"/>
        </w:tabs>
        <w:spacing w:after="80" w:line="240" w:lineRule="auto"/>
        <w:ind w:left="1080" w:hanging="540"/>
      </w:pPr>
      <w:r w:rsidRPr="00BF1D5C">
        <w:t>2.</w:t>
      </w:r>
      <w:r w:rsidRPr="00BF1D5C">
        <w:tab/>
      </w:r>
      <w:proofErr w:type="gramStart"/>
      <w:r w:rsidRPr="00BF1D5C">
        <w:t>a</w:t>
      </w:r>
      <w:proofErr w:type="gramEnd"/>
      <w:r w:rsidRPr="00BF1D5C">
        <w:t>.</w:t>
      </w:r>
      <w:r w:rsidRPr="00BF1D5C">
        <w:tab/>
        <w:t>The value of the call option decreases if underlying stock price volatility decreases.  The less volatile the underlying stock price, the less the chance of extreme price movements—the lower the probability that the option expires in the money.  This makes the participation feature on the upside less valuable.</w:t>
      </w:r>
    </w:p>
    <w:p w:rsidR="0010387E" w:rsidRPr="00BF1D5C" w:rsidRDefault="0010387E" w:rsidP="005D4D22">
      <w:pPr>
        <w:autoSpaceDE w:val="0"/>
        <w:autoSpaceDN w:val="0"/>
        <w:adjustRightInd w:val="0"/>
        <w:spacing w:line="240" w:lineRule="auto"/>
        <w:ind w:left="1080" w:right="-180" w:hanging="540"/>
      </w:pPr>
      <w:r w:rsidRPr="00BF1D5C">
        <w:lastRenderedPageBreak/>
        <w:t>The value of the call option is expected to increase if the time to expiration of the option increases.  The longer the time to expiration, the greater the chance that the option will expire in the money resulting in an increase in the time premium component of the option’s value.</w:t>
      </w:r>
    </w:p>
    <w:p w:rsidR="0010387E" w:rsidRPr="00BF1D5C" w:rsidRDefault="0010387E" w:rsidP="005D4D22">
      <w:pPr>
        <w:autoSpaceDE w:val="0"/>
        <w:autoSpaceDN w:val="0"/>
        <w:adjustRightInd w:val="0"/>
        <w:spacing w:line="240" w:lineRule="auto"/>
        <w:ind w:left="1080" w:hanging="540"/>
      </w:pPr>
    </w:p>
    <w:p w:rsidR="0010387E" w:rsidRPr="00BF1D5C" w:rsidRDefault="0010387E" w:rsidP="005D4D22">
      <w:pPr>
        <w:autoSpaceDE w:val="0"/>
        <w:autoSpaceDN w:val="0"/>
        <w:adjustRightInd w:val="0"/>
        <w:spacing w:line="240" w:lineRule="auto"/>
        <w:ind w:left="1080" w:hanging="540"/>
      </w:pPr>
      <w:proofErr w:type="gramStart"/>
      <w:r w:rsidRPr="00BF1D5C">
        <w:t>b</w:t>
      </w:r>
      <w:proofErr w:type="gramEnd"/>
      <w:r w:rsidRPr="00BF1D5C">
        <w:t>.</w:t>
      </w:r>
      <w:r w:rsidRPr="00BF1D5C">
        <w:tab/>
      </w:r>
      <w:proofErr w:type="spellStart"/>
      <w:r w:rsidRPr="00BF1D5C">
        <w:t>i</w:t>
      </w:r>
      <w:proofErr w:type="spellEnd"/>
      <w:r w:rsidRPr="00BF1D5C">
        <w:t>. When European options are out of the money, investors are essentially saying that they are willing to pay a premium for the right, but not the obligation, to buy or sell the underlying asset.  The out-of-the-money option has no intrinsic value, but, since options require little capital (just the premium paid) to obtain a relatively large potential payoff, investors are willing to pay that premium even if the option may expire worthless.  The Black-</w:t>
      </w:r>
      <w:proofErr w:type="spellStart"/>
      <w:r w:rsidRPr="00BF1D5C">
        <w:t>Scholes</w:t>
      </w:r>
      <w:proofErr w:type="spellEnd"/>
      <w:r w:rsidRPr="00BF1D5C">
        <w:t xml:space="preserve"> model does not reflect investors’ demand for any premium above the time value of the option.  Hence, if investors are willing to pay a premium for an out-of-the-money option above its time value, the Black-</w:t>
      </w:r>
      <w:proofErr w:type="spellStart"/>
      <w:r w:rsidRPr="00BF1D5C">
        <w:t>Scholes</w:t>
      </w:r>
      <w:proofErr w:type="spellEnd"/>
      <w:r w:rsidRPr="00BF1D5C">
        <w:t xml:space="preserve"> model does not value that excess premium.</w:t>
      </w:r>
    </w:p>
    <w:p w:rsidR="0010387E" w:rsidRPr="00BF1D5C" w:rsidRDefault="0010387E" w:rsidP="005D4D22">
      <w:pPr>
        <w:autoSpaceDE w:val="0"/>
        <w:autoSpaceDN w:val="0"/>
        <w:adjustRightInd w:val="0"/>
        <w:spacing w:before="120" w:line="240" w:lineRule="auto"/>
        <w:ind w:left="1080" w:right="-187" w:hanging="540"/>
      </w:pPr>
      <w:r w:rsidRPr="00BF1D5C">
        <w:t>ii. With American options, investors have the right, but not the obligation, to exercise the option prior to expiration, even if they exercise for non-economic reasons.  This increased flexibility associated with American options has some value but is not considered in the Black-</w:t>
      </w:r>
      <w:proofErr w:type="spellStart"/>
      <w:r w:rsidRPr="00BF1D5C">
        <w:t>Scholes</w:t>
      </w:r>
      <w:proofErr w:type="spellEnd"/>
      <w:r w:rsidRPr="00BF1D5C">
        <w:t xml:space="preserve"> model because the model only values options to their expiration date (European options).</w:t>
      </w:r>
    </w:p>
    <w:p w:rsidR="0010387E" w:rsidRPr="00BF1D5C" w:rsidRDefault="0010387E" w:rsidP="005D4D22">
      <w:pPr>
        <w:autoSpaceDE w:val="0"/>
        <w:autoSpaceDN w:val="0"/>
        <w:adjustRightInd w:val="0"/>
        <w:spacing w:line="240" w:lineRule="auto"/>
        <w:ind w:hanging="540"/>
      </w:pPr>
    </w:p>
    <w:p w:rsidR="0010387E" w:rsidRPr="00BF1D5C" w:rsidRDefault="0010387E" w:rsidP="005D4D22">
      <w:pPr>
        <w:autoSpaceDE w:val="0"/>
        <w:autoSpaceDN w:val="0"/>
        <w:adjustRightInd w:val="0"/>
        <w:spacing w:line="240" w:lineRule="auto"/>
        <w:ind w:hanging="540"/>
      </w:pPr>
    </w:p>
    <w:p w:rsidR="0010387E" w:rsidRPr="00BF1D5C" w:rsidRDefault="0010387E" w:rsidP="005D4D22">
      <w:pPr>
        <w:tabs>
          <w:tab w:val="left" w:pos="540"/>
        </w:tabs>
        <w:spacing w:line="240" w:lineRule="auto"/>
        <w:ind w:left="1080" w:hanging="540"/>
      </w:pPr>
      <w:r w:rsidRPr="00BF1D5C">
        <w:t>3.</w:t>
      </w:r>
      <w:r w:rsidRPr="00BF1D5C">
        <w:tab/>
        <w:t>a.</w:t>
      </w:r>
      <w:r w:rsidRPr="00BF1D5C">
        <w:tab/>
        <w:t xml:space="preserve">American options should cost more (have a higher premium).  American options give the investor greater flexibility than European options since the investor can </w:t>
      </w:r>
      <w:r w:rsidRPr="00BF1D5C">
        <w:rPr>
          <w:i/>
        </w:rPr>
        <w:t>choose</w:t>
      </w:r>
      <w:r w:rsidRPr="00BF1D5C">
        <w:t xml:space="preserve"> whether to exercise early.  When the stock pays a dividend, the option to exercise a call early can be valuable.  But regardless of the dividend, a European option (put or call) never sells for more than an otherwise-identical American option.</w:t>
      </w:r>
    </w:p>
    <w:p w:rsidR="0010387E" w:rsidRPr="00BF1D5C" w:rsidRDefault="0010387E" w:rsidP="005D4D22">
      <w:pPr>
        <w:spacing w:after="120" w:line="240" w:lineRule="auto"/>
        <w:ind w:left="1094" w:hanging="540"/>
      </w:pPr>
      <w:r w:rsidRPr="00BF1D5C">
        <w:br w:type="page"/>
      </w:r>
      <w:r w:rsidRPr="00BF1D5C">
        <w:lastRenderedPageBreak/>
        <w:t>b.</w:t>
      </w:r>
      <w:r w:rsidRPr="00BF1D5C">
        <w:tab/>
        <w:t>C = S</w:t>
      </w:r>
      <w:r w:rsidRPr="00BF1D5C">
        <w:rPr>
          <w:vertAlign w:val="subscript"/>
        </w:rPr>
        <w:t>0</w:t>
      </w:r>
      <w:r w:rsidRPr="00BF1D5C">
        <w:t xml:space="preserve"> + P </w:t>
      </w:r>
      <w:r w:rsidRPr="00BF1D5C">
        <w:sym w:font="Symbol" w:char="F02D"/>
      </w:r>
      <w:r w:rsidRPr="00BF1D5C">
        <w:t xml:space="preserve"> PV(X) = $43 + $4 </w:t>
      </w:r>
      <w:r w:rsidRPr="00BF1D5C">
        <w:sym w:font="Symbol" w:char="F02D"/>
      </w:r>
      <w:r w:rsidRPr="00BF1D5C">
        <w:t xml:space="preserve"> $45/1.055 = $4.346</w:t>
      </w:r>
    </w:p>
    <w:p w:rsidR="0010387E" w:rsidRPr="00BF1D5C" w:rsidRDefault="0010387E" w:rsidP="0010387E">
      <w:pPr>
        <w:spacing w:line="240" w:lineRule="auto"/>
        <w:ind w:left="1080"/>
      </w:pPr>
      <w:r w:rsidRPr="00BF1D5C">
        <w:t>Note: we assume that Abaco does not pay any dividends.</w:t>
      </w:r>
    </w:p>
    <w:p w:rsidR="0010387E" w:rsidRPr="00BF1D5C" w:rsidRDefault="0010387E" w:rsidP="0010387E">
      <w:pPr>
        <w:spacing w:line="240" w:lineRule="auto"/>
      </w:pPr>
    </w:p>
    <w:p w:rsidR="0010387E" w:rsidRPr="00BF1D5C" w:rsidRDefault="0010387E" w:rsidP="0010387E">
      <w:pPr>
        <w:pStyle w:val="BodyTextIndent"/>
        <w:tabs>
          <w:tab w:val="clear" w:pos="800"/>
          <w:tab w:val="left" w:pos="1080"/>
        </w:tabs>
        <w:spacing w:after="60"/>
        <w:ind w:left="1440" w:hanging="900"/>
        <w:rPr>
          <w:rFonts w:asciiTheme="minorHAnsi" w:hAnsiTheme="minorHAnsi"/>
          <w:sz w:val="22"/>
          <w:szCs w:val="22"/>
        </w:rPr>
      </w:pPr>
      <w:r w:rsidRPr="00BF1D5C">
        <w:rPr>
          <w:rFonts w:asciiTheme="minorHAnsi" w:hAnsiTheme="minorHAnsi"/>
          <w:sz w:val="22"/>
          <w:szCs w:val="22"/>
        </w:rPr>
        <w:t>c.</w:t>
      </w:r>
      <w:r w:rsidRPr="00BF1D5C">
        <w:rPr>
          <w:rFonts w:asciiTheme="minorHAnsi" w:hAnsiTheme="minorHAnsi"/>
          <w:sz w:val="22"/>
          <w:szCs w:val="22"/>
        </w:rPr>
        <w:tab/>
      </w:r>
      <w:proofErr w:type="spellStart"/>
      <w:r w:rsidRPr="00BF1D5C">
        <w:rPr>
          <w:rFonts w:asciiTheme="minorHAnsi" w:hAnsiTheme="minorHAnsi"/>
          <w:sz w:val="22"/>
          <w:szCs w:val="22"/>
        </w:rPr>
        <w:t>i</w:t>
      </w:r>
      <w:proofErr w:type="spellEnd"/>
      <w:r w:rsidRPr="00BF1D5C">
        <w:rPr>
          <w:rFonts w:asciiTheme="minorHAnsi" w:hAnsiTheme="minorHAnsi"/>
          <w:sz w:val="22"/>
          <w:szCs w:val="22"/>
        </w:rPr>
        <w:t>)</w:t>
      </w:r>
      <w:r w:rsidRPr="00BF1D5C">
        <w:rPr>
          <w:rFonts w:asciiTheme="minorHAnsi" w:hAnsiTheme="minorHAnsi"/>
          <w:sz w:val="22"/>
          <w:szCs w:val="22"/>
        </w:rPr>
        <w:tab/>
        <w:t xml:space="preserve">An increase in short-term interest rate </w:t>
      </w:r>
      <w:r w:rsidRPr="00BF1D5C">
        <w:rPr>
          <w:rFonts w:asciiTheme="minorHAnsi" w:hAnsiTheme="minorHAnsi"/>
          <w:sz w:val="22"/>
          <w:szCs w:val="22"/>
        </w:rPr>
        <w:sym w:font="Symbol (AS)" w:char="F0DE"/>
      </w:r>
      <w:r w:rsidRPr="00BF1D5C">
        <w:rPr>
          <w:rFonts w:asciiTheme="minorHAnsi" w:hAnsiTheme="minorHAnsi"/>
          <w:sz w:val="22"/>
          <w:szCs w:val="22"/>
        </w:rPr>
        <w:t xml:space="preserve"> </w:t>
      </w:r>
      <w:proofErr w:type="gramStart"/>
      <w:r w:rsidRPr="00BF1D5C">
        <w:rPr>
          <w:rFonts w:asciiTheme="minorHAnsi" w:hAnsiTheme="minorHAnsi"/>
          <w:sz w:val="22"/>
          <w:szCs w:val="22"/>
        </w:rPr>
        <w:t>PV(</w:t>
      </w:r>
      <w:proofErr w:type="gramEnd"/>
      <w:r w:rsidRPr="00BF1D5C">
        <w:rPr>
          <w:rFonts w:asciiTheme="minorHAnsi" w:hAnsiTheme="minorHAnsi"/>
          <w:sz w:val="22"/>
          <w:szCs w:val="22"/>
        </w:rPr>
        <w:t>exercise price) is lower, and call value increases.</w:t>
      </w:r>
    </w:p>
    <w:p w:rsidR="0010387E" w:rsidRPr="00BF1D5C" w:rsidRDefault="0010387E" w:rsidP="0010387E">
      <w:pPr>
        <w:spacing w:after="60" w:line="240" w:lineRule="auto"/>
        <w:ind w:left="1440" w:hanging="353"/>
      </w:pPr>
      <w:r w:rsidRPr="00BF1D5C">
        <w:t>ii)</w:t>
      </w:r>
      <w:r w:rsidRPr="00BF1D5C">
        <w:tab/>
        <w:t xml:space="preserve">An increase in stock price volatility </w:t>
      </w:r>
      <w:r w:rsidRPr="00BF1D5C">
        <w:sym w:font="Symbol" w:char="F0DE"/>
      </w:r>
      <w:r w:rsidRPr="00BF1D5C">
        <w:t xml:space="preserve"> the call value increases.</w:t>
      </w:r>
    </w:p>
    <w:p w:rsidR="0010387E" w:rsidRPr="00BF1D5C" w:rsidRDefault="0010387E" w:rsidP="0010387E">
      <w:pPr>
        <w:spacing w:line="240" w:lineRule="auto"/>
        <w:ind w:left="1440" w:hanging="360"/>
      </w:pPr>
      <w:r w:rsidRPr="00BF1D5C">
        <w:t>iii)</w:t>
      </w:r>
      <w:r w:rsidRPr="00BF1D5C">
        <w:tab/>
        <w:t xml:space="preserve">A decrease in time to option expiration </w:t>
      </w:r>
      <w:r w:rsidRPr="00BF1D5C">
        <w:sym w:font="Symbol" w:char="F0DE"/>
      </w:r>
      <w:r w:rsidRPr="00BF1D5C">
        <w:t xml:space="preserve"> the call value decreases.</w:t>
      </w:r>
    </w:p>
    <w:p w:rsidR="004C11D2" w:rsidRPr="00BF1D5C" w:rsidRDefault="004C11D2" w:rsidP="005D4D22">
      <w:pPr>
        <w:tabs>
          <w:tab w:val="left" w:pos="0"/>
        </w:tabs>
        <w:spacing w:line="360" w:lineRule="auto"/>
      </w:pPr>
    </w:p>
    <w:sectPr w:rsidR="004C11D2" w:rsidRPr="00BF1D5C" w:rsidSect="008B6EF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Symbol (AS)">
    <w:panose1 w:val="00000000000000000000"/>
    <w:charset w:val="02"/>
    <w:family w:val="roman"/>
    <w:notTrueTyp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238BE"/>
    <w:multiLevelType w:val="hybridMultilevel"/>
    <w:tmpl w:val="DF766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2E3243"/>
    <w:multiLevelType w:val="hybridMultilevel"/>
    <w:tmpl w:val="CDBE8E98"/>
    <w:lvl w:ilvl="0" w:tplc="FFFFFFFF">
      <w:start w:val="2"/>
      <w:numFmt w:val="lowerLetter"/>
      <w:lvlText w:val="%1."/>
      <w:lvlJc w:val="left"/>
      <w:pPr>
        <w:tabs>
          <w:tab w:val="num" w:pos="900"/>
        </w:tabs>
        <w:ind w:left="900" w:hanging="360"/>
      </w:pPr>
      <w:rPr>
        <w:rFonts w:hint="default"/>
      </w:rPr>
    </w:lvl>
    <w:lvl w:ilvl="1" w:tplc="FFFFFFFF">
      <w:start w:val="3"/>
      <w:numFmt w:val="lowerLetter"/>
      <w:lvlText w:val="%2."/>
      <w:lvlJc w:val="left"/>
      <w:pPr>
        <w:tabs>
          <w:tab w:val="num" w:pos="1620"/>
        </w:tabs>
        <w:ind w:left="1620" w:hanging="360"/>
      </w:pPr>
      <w:rPr>
        <w:rFonts w:hint="default"/>
      </w:rPr>
    </w:lvl>
    <w:lvl w:ilvl="2" w:tplc="FFFFFFFF">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91305"/>
    <w:rsid w:val="0010387E"/>
    <w:rsid w:val="00291305"/>
    <w:rsid w:val="004C11D2"/>
    <w:rsid w:val="005D4D22"/>
    <w:rsid w:val="008B6EFA"/>
    <w:rsid w:val="00BF1D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E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91305"/>
    <w:pPr>
      <w:tabs>
        <w:tab w:val="left" w:pos="800"/>
      </w:tabs>
      <w:spacing w:after="0" w:line="240" w:lineRule="auto"/>
      <w:ind w:left="540" w:hanging="540"/>
    </w:pPr>
    <w:rPr>
      <w:rFonts w:ascii="Times" w:eastAsia="Times New Roman" w:hAnsi="Times" w:cs="Times New Roman"/>
      <w:sz w:val="24"/>
      <w:szCs w:val="20"/>
    </w:rPr>
  </w:style>
  <w:style w:type="character" w:customStyle="1" w:styleId="BodyTextIndentChar">
    <w:name w:val="Body Text Indent Char"/>
    <w:basedOn w:val="DefaultParagraphFont"/>
    <w:link w:val="BodyTextIndent"/>
    <w:rsid w:val="00291305"/>
    <w:rPr>
      <w:rFonts w:ascii="Times" w:eastAsia="Times New Roman" w:hAnsi="Times" w:cs="Times New Roman"/>
      <w:sz w:val="24"/>
      <w:szCs w:val="20"/>
    </w:rPr>
  </w:style>
  <w:style w:type="paragraph" w:styleId="BodyTextIndent2">
    <w:name w:val="Body Text Indent 2"/>
    <w:basedOn w:val="Normal"/>
    <w:link w:val="BodyTextIndent2Char"/>
    <w:uiPriority w:val="99"/>
    <w:unhideWhenUsed/>
    <w:rsid w:val="00291305"/>
    <w:pPr>
      <w:spacing w:after="120" w:line="480" w:lineRule="auto"/>
      <w:ind w:left="360"/>
    </w:pPr>
  </w:style>
  <w:style w:type="character" w:customStyle="1" w:styleId="BodyTextIndent2Char">
    <w:name w:val="Body Text Indent 2 Char"/>
    <w:basedOn w:val="DefaultParagraphFont"/>
    <w:link w:val="BodyTextIndent2"/>
    <w:uiPriority w:val="99"/>
    <w:rsid w:val="00291305"/>
  </w:style>
  <w:style w:type="paragraph" w:styleId="Footer">
    <w:name w:val="footer"/>
    <w:basedOn w:val="Normal"/>
    <w:link w:val="FooterChar"/>
    <w:rsid w:val="00291305"/>
    <w:pPr>
      <w:tabs>
        <w:tab w:val="center" w:pos="4320"/>
        <w:tab w:val="right" w:pos="8640"/>
      </w:tabs>
      <w:spacing w:after="0" w:line="480" w:lineRule="atLeast"/>
    </w:pPr>
    <w:rPr>
      <w:rFonts w:ascii="Times" w:eastAsia="Times New Roman" w:hAnsi="Times" w:cs="Times New Roman"/>
      <w:sz w:val="24"/>
      <w:szCs w:val="20"/>
    </w:rPr>
  </w:style>
  <w:style w:type="character" w:customStyle="1" w:styleId="FooterChar">
    <w:name w:val="Footer Char"/>
    <w:basedOn w:val="DefaultParagraphFont"/>
    <w:link w:val="Footer"/>
    <w:rsid w:val="00291305"/>
    <w:rPr>
      <w:rFonts w:ascii="Times" w:eastAsia="Times New Roman" w:hAnsi="Times" w:cs="Times New Roman"/>
      <w:sz w:val="24"/>
      <w:szCs w:val="20"/>
    </w:rPr>
  </w:style>
  <w:style w:type="paragraph" w:styleId="BodyTextIndent3">
    <w:name w:val="Body Text Indent 3"/>
    <w:basedOn w:val="Normal"/>
    <w:link w:val="BodyTextIndent3Char"/>
    <w:uiPriority w:val="99"/>
    <w:semiHidden/>
    <w:unhideWhenUsed/>
    <w:rsid w:val="0010387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0387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8.bin"/><Relationship Id="rId26" Type="http://schemas.openxmlformats.org/officeDocument/2006/relationships/oleObject" Target="embeddings/oleObject15.bin"/><Relationship Id="rId3" Type="http://schemas.openxmlformats.org/officeDocument/2006/relationships/settings" Target="settings.xml"/><Relationship Id="rId21" Type="http://schemas.openxmlformats.org/officeDocument/2006/relationships/oleObject" Target="embeddings/oleObject11.bin"/><Relationship Id="rId34" Type="http://schemas.openxmlformats.org/officeDocument/2006/relationships/oleObject" Target="embeddings/oleObject19.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oleObject" Target="embeddings/oleObject7.bin"/><Relationship Id="rId25" Type="http://schemas.openxmlformats.org/officeDocument/2006/relationships/image" Target="media/image7.wmf"/><Relationship Id="rId33"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10.bin"/><Relationship Id="rId29" Type="http://schemas.openxmlformats.org/officeDocument/2006/relationships/image" Target="media/image9.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4.bin"/><Relationship Id="rId32" Type="http://schemas.openxmlformats.org/officeDocument/2006/relationships/oleObject" Target="embeddings/oleObject18.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oleObject" Target="embeddings/oleObject13.bin"/><Relationship Id="rId28" Type="http://schemas.openxmlformats.org/officeDocument/2006/relationships/oleObject" Target="embeddings/oleObject16.bin"/><Relationship Id="rId36" Type="http://schemas.openxmlformats.org/officeDocument/2006/relationships/theme" Target="theme/theme1.xml"/><Relationship Id="rId10" Type="http://schemas.openxmlformats.org/officeDocument/2006/relationships/oleObject" Target="embeddings/oleObject3.bin"/><Relationship Id="rId19" Type="http://schemas.openxmlformats.org/officeDocument/2006/relationships/oleObject" Target="embeddings/oleObject9.bin"/><Relationship Id="rId31"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12.bin"/><Relationship Id="rId27" Type="http://schemas.openxmlformats.org/officeDocument/2006/relationships/image" Target="media/image8.wmf"/><Relationship Id="rId30" Type="http://schemas.openxmlformats.org/officeDocument/2006/relationships/oleObject" Target="embeddings/oleObject17.bin"/><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2008</Words>
  <Characters>11450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COX-SMU</Company>
  <LinksUpToDate>false</LinksUpToDate>
  <CharactersWithSpaces>13432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Anchada Charoenrook</dc:creator>
  <cp:keywords/>
  <dc:description/>
  <cp:lastModifiedBy>Anchada Charoenrook</cp:lastModifiedBy>
  <cp:revision>4</cp:revision>
  <dcterms:created xsi:type="dcterms:W3CDTF">2013-11-17T04:28:00Z</dcterms:created>
  <dcterms:modified xsi:type="dcterms:W3CDTF">2013-11-17T04:44:00Z</dcterms:modified>
</cp:coreProperties>
</file>